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87000" w14:textId="50F64C97" w:rsidR="007B1EBB" w:rsidRPr="007B1EBB" w:rsidRDefault="00E01B6D" w:rsidP="007B1EBB">
      <w:pPr>
        <w:jc w:val="center"/>
        <w:rPr>
          <w:b/>
          <w:color w:val="212121"/>
          <w:sz w:val="24"/>
          <w:szCs w:val="24"/>
        </w:rPr>
      </w:pPr>
      <w:bookmarkStart w:id="0" w:name="_GoBack"/>
      <w:r>
        <w:rPr>
          <w:b/>
          <w:color w:val="212121"/>
          <w:sz w:val="24"/>
          <w:szCs w:val="24"/>
        </w:rPr>
        <w:t>Projet</w:t>
      </w:r>
      <w:bookmarkEnd w:id="0"/>
      <w:r>
        <w:rPr>
          <w:b/>
          <w:color w:val="212121"/>
          <w:sz w:val="24"/>
          <w:szCs w:val="24"/>
        </w:rPr>
        <w:t xml:space="preserve"> de tribune sur les finances locales</w:t>
      </w:r>
      <w:r w:rsidR="00174CB0">
        <w:rPr>
          <w:b/>
          <w:color w:val="212121"/>
          <w:sz w:val="24"/>
          <w:szCs w:val="24"/>
        </w:rPr>
        <w:t xml:space="preserve"> et le jacobinisme fiscal</w:t>
      </w:r>
    </w:p>
    <w:p w14:paraId="5EDD7D66" w14:textId="77777777" w:rsidR="007B1EBB" w:rsidRDefault="007B1EBB" w:rsidP="0048792B">
      <w:pPr>
        <w:jc w:val="both"/>
        <w:rPr>
          <w:color w:val="212121"/>
        </w:rPr>
      </w:pPr>
    </w:p>
    <w:p w14:paraId="7220A43E" w14:textId="77777777" w:rsidR="00AF771E" w:rsidRDefault="00AF771E" w:rsidP="0048792B">
      <w:pPr>
        <w:jc w:val="both"/>
        <w:rPr>
          <w:color w:val="212121"/>
          <w:sz w:val="24"/>
          <w:szCs w:val="24"/>
        </w:rPr>
      </w:pPr>
    </w:p>
    <w:p w14:paraId="74B77C7C" w14:textId="07C8EC21" w:rsidR="00A81A7D" w:rsidRDefault="00377C94" w:rsidP="0048792B">
      <w:pPr>
        <w:jc w:val="both"/>
        <w:rPr>
          <w:color w:val="212121"/>
          <w:sz w:val="24"/>
          <w:szCs w:val="24"/>
        </w:rPr>
      </w:pPr>
      <w:r>
        <w:rPr>
          <w:color w:val="212121"/>
          <w:sz w:val="24"/>
          <w:szCs w:val="24"/>
        </w:rPr>
        <w:t xml:space="preserve">Objet : </w:t>
      </w:r>
      <w:r w:rsidR="00A81A7D">
        <w:rPr>
          <w:color w:val="212121"/>
          <w:sz w:val="24"/>
          <w:szCs w:val="24"/>
        </w:rPr>
        <w:t>Dénoncer et illustrer la recentralisation jacobine des pouvoirs et l’affaiblissement des collectivités locales organisés par le Président Macron et proposer des alternatives</w:t>
      </w:r>
    </w:p>
    <w:p w14:paraId="1550ABEC" w14:textId="52E04916" w:rsidR="00A81A7D" w:rsidRDefault="00A81A7D" w:rsidP="0048792B">
      <w:pPr>
        <w:jc w:val="both"/>
        <w:rPr>
          <w:color w:val="212121"/>
          <w:sz w:val="24"/>
          <w:szCs w:val="24"/>
        </w:rPr>
      </w:pPr>
    </w:p>
    <w:p w14:paraId="0160AE5B" w14:textId="77777777" w:rsidR="00A81A7D" w:rsidRDefault="00A81A7D" w:rsidP="0048792B">
      <w:pPr>
        <w:jc w:val="both"/>
        <w:rPr>
          <w:color w:val="212121"/>
          <w:sz w:val="24"/>
          <w:szCs w:val="24"/>
        </w:rPr>
      </w:pPr>
    </w:p>
    <w:p w14:paraId="0126EFC6" w14:textId="4FA337A9" w:rsidR="00B95734" w:rsidRDefault="00A81A7D" w:rsidP="00B95734">
      <w:pPr>
        <w:jc w:val="both"/>
        <w:rPr>
          <w:color w:val="212121"/>
          <w:sz w:val="24"/>
          <w:szCs w:val="24"/>
        </w:rPr>
      </w:pPr>
      <w:r>
        <w:rPr>
          <w:color w:val="212121"/>
          <w:sz w:val="24"/>
          <w:szCs w:val="24"/>
        </w:rPr>
        <w:t xml:space="preserve">Depuis le début de sa première mandature, le Président Macron </w:t>
      </w:r>
      <w:r w:rsidR="00DA694F">
        <w:rPr>
          <w:color w:val="212121"/>
          <w:sz w:val="24"/>
          <w:szCs w:val="24"/>
        </w:rPr>
        <w:t xml:space="preserve">ne cesse de </w:t>
      </w:r>
      <w:r>
        <w:rPr>
          <w:color w:val="212121"/>
          <w:sz w:val="24"/>
          <w:szCs w:val="24"/>
        </w:rPr>
        <w:t>réduire le rôle et l’action des collectivités locales.</w:t>
      </w:r>
      <w:r w:rsidR="00CE321D">
        <w:rPr>
          <w:color w:val="212121"/>
          <w:sz w:val="24"/>
          <w:szCs w:val="24"/>
        </w:rPr>
        <w:t xml:space="preserve"> </w:t>
      </w:r>
      <w:r w:rsidR="00B95734">
        <w:rPr>
          <w:color w:val="212121"/>
          <w:sz w:val="24"/>
          <w:szCs w:val="24"/>
        </w:rPr>
        <w:t>Limitation des dépenses de fonctionnement (Accord de Cahors), suppression des ressources propres des collectivités (Taxe habitation et bientôt CVAE), délégations de compétences nationales, décisions nationales peu ou pas concertées avec les élus locaux, … la liste est longue des attaques sévères que subissent les exécutifs locaux…</w:t>
      </w:r>
    </w:p>
    <w:p w14:paraId="47AB88A8" w14:textId="17128CD6" w:rsidR="00CE321D" w:rsidRDefault="00CE321D" w:rsidP="0048792B">
      <w:pPr>
        <w:jc w:val="both"/>
        <w:rPr>
          <w:color w:val="212121"/>
          <w:sz w:val="24"/>
          <w:szCs w:val="24"/>
        </w:rPr>
      </w:pPr>
      <w:r>
        <w:rPr>
          <w:color w:val="212121"/>
          <w:sz w:val="24"/>
          <w:szCs w:val="24"/>
        </w:rPr>
        <w:t xml:space="preserve">Pourtant ces </w:t>
      </w:r>
      <w:r w:rsidR="00B95734">
        <w:rPr>
          <w:color w:val="212121"/>
          <w:sz w:val="24"/>
          <w:szCs w:val="24"/>
        </w:rPr>
        <w:t>collectivité</w:t>
      </w:r>
      <w:r>
        <w:rPr>
          <w:color w:val="212121"/>
          <w:sz w:val="24"/>
          <w:szCs w:val="24"/>
        </w:rPr>
        <w:t xml:space="preserve">s sont indispensables aux transitions écologiques et sociales et renforcent la cohésion sociale entre les citoyens, entre les territoires… Affaiblir </w:t>
      </w:r>
      <w:r w:rsidR="00B95734">
        <w:rPr>
          <w:color w:val="212121"/>
          <w:sz w:val="24"/>
          <w:szCs w:val="24"/>
        </w:rPr>
        <w:t>celles-ci</w:t>
      </w:r>
      <w:r>
        <w:rPr>
          <w:color w:val="212121"/>
          <w:sz w:val="24"/>
          <w:szCs w:val="24"/>
        </w:rPr>
        <w:t xml:space="preserve">, à rebours de ce qui se pratique dans la plupart des autres Etats européens, risque fort d’être une </w:t>
      </w:r>
      <w:r w:rsidR="00C27F54">
        <w:rPr>
          <w:color w:val="212121"/>
          <w:sz w:val="24"/>
          <w:szCs w:val="24"/>
        </w:rPr>
        <w:t>erreur</w:t>
      </w:r>
      <w:r>
        <w:rPr>
          <w:color w:val="212121"/>
          <w:sz w:val="24"/>
          <w:szCs w:val="24"/>
        </w:rPr>
        <w:t xml:space="preserve"> historique !</w:t>
      </w:r>
    </w:p>
    <w:p w14:paraId="7FDB1CF4" w14:textId="77777777" w:rsidR="00CE321D" w:rsidRDefault="00CE321D" w:rsidP="0048792B">
      <w:pPr>
        <w:jc w:val="both"/>
        <w:rPr>
          <w:color w:val="212121"/>
          <w:sz w:val="24"/>
          <w:szCs w:val="24"/>
        </w:rPr>
      </w:pPr>
    </w:p>
    <w:p w14:paraId="48AB0CB7" w14:textId="6513AF48" w:rsidR="00D1247A" w:rsidRDefault="00D1247A" w:rsidP="0048792B">
      <w:pPr>
        <w:jc w:val="both"/>
        <w:rPr>
          <w:color w:val="212121"/>
          <w:sz w:val="24"/>
          <w:szCs w:val="24"/>
        </w:rPr>
      </w:pPr>
    </w:p>
    <w:p w14:paraId="6B632D5B" w14:textId="5177AF13" w:rsidR="00D1247A" w:rsidRDefault="00D1247A" w:rsidP="00D1247A">
      <w:pPr>
        <w:jc w:val="both"/>
        <w:rPr>
          <w:color w:val="212121"/>
          <w:sz w:val="24"/>
          <w:szCs w:val="24"/>
        </w:rPr>
      </w:pPr>
      <w:r>
        <w:rPr>
          <w:color w:val="212121"/>
          <w:sz w:val="24"/>
          <w:szCs w:val="24"/>
        </w:rPr>
        <w:t xml:space="preserve">Nous </w:t>
      </w:r>
      <w:proofErr w:type="spellStart"/>
      <w:r>
        <w:rPr>
          <w:color w:val="212121"/>
          <w:sz w:val="24"/>
          <w:szCs w:val="24"/>
        </w:rPr>
        <w:t>élu.</w:t>
      </w:r>
      <w:proofErr w:type="gramStart"/>
      <w:r>
        <w:rPr>
          <w:color w:val="212121"/>
          <w:sz w:val="24"/>
          <w:szCs w:val="24"/>
        </w:rPr>
        <w:t>e.s</w:t>
      </w:r>
      <w:proofErr w:type="spellEnd"/>
      <w:proofErr w:type="gramEnd"/>
      <w:r>
        <w:rPr>
          <w:color w:val="212121"/>
          <w:sz w:val="24"/>
          <w:szCs w:val="24"/>
        </w:rPr>
        <w:t xml:space="preserve"> écologistes et fédéralistes</w:t>
      </w:r>
      <w:r w:rsidR="00B95734">
        <w:rPr>
          <w:color w:val="212121"/>
          <w:sz w:val="24"/>
          <w:szCs w:val="24"/>
        </w:rPr>
        <w:t xml:space="preserve">, fervents défenseurs du principe de subsidiarité, </w:t>
      </w:r>
      <w:r>
        <w:rPr>
          <w:color w:val="212121"/>
          <w:sz w:val="24"/>
          <w:szCs w:val="24"/>
        </w:rPr>
        <w:t>ne pouvons que dénoncer vigoureusement cette recentralisation des pouvoirs qui s’effectue en France, au détriment des collectivités territoriales et de la démocratie de proximité.</w:t>
      </w:r>
      <w:r w:rsidRPr="0093464D">
        <w:rPr>
          <w:color w:val="212121"/>
          <w:sz w:val="24"/>
          <w:szCs w:val="24"/>
        </w:rPr>
        <w:t xml:space="preserve"> </w:t>
      </w:r>
    </w:p>
    <w:p w14:paraId="1DCC1B08" w14:textId="3A35D5AD" w:rsidR="00AA3F29" w:rsidRDefault="00AA3F29" w:rsidP="0048792B">
      <w:pPr>
        <w:jc w:val="both"/>
        <w:rPr>
          <w:color w:val="212121"/>
          <w:sz w:val="24"/>
          <w:szCs w:val="24"/>
        </w:rPr>
      </w:pPr>
    </w:p>
    <w:p w14:paraId="5271A58D" w14:textId="2F1D6F83" w:rsidR="00761146" w:rsidRDefault="00761146" w:rsidP="00761146">
      <w:pPr>
        <w:jc w:val="both"/>
        <w:rPr>
          <w:color w:val="212121"/>
          <w:sz w:val="24"/>
          <w:szCs w:val="24"/>
        </w:rPr>
      </w:pPr>
      <w:r>
        <w:rPr>
          <w:color w:val="212121"/>
          <w:sz w:val="24"/>
          <w:szCs w:val="24"/>
        </w:rPr>
        <w:t>Alors que l’abstention ne cesse d’augmenter d’élections en élections, alors que les crises sociales, énergétiques et climatiques, s’intensifient, il est essentiel de rappeler que les collectivités sont des acteurs essentiels de l’investissement public</w:t>
      </w:r>
      <w:r w:rsidR="00D1247A">
        <w:rPr>
          <w:rStyle w:val="Appelnotedebasdep"/>
          <w:color w:val="212121"/>
          <w:sz w:val="24"/>
          <w:szCs w:val="24"/>
        </w:rPr>
        <w:footnoteReference w:id="1"/>
      </w:r>
      <w:r>
        <w:rPr>
          <w:color w:val="212121"/>
          <w:sz w:val="24"/>
          <w:szCs w:val="24"/>
        </w:rPr>
        <w:t xml:space="preserve">, mais aussi de nombreuses politiques de solidarité et sont les meilleures garantes d’une proximité avec les citoyens. </w:t>
      </w:r>
    </w:p>
    <w:p w14:paraId="6CE8FD38" w14:textId="77777777" w:rsidR="00761146" w:rsidRDefault="00761146" w:rsidP="00761146">
      <w:pPr>
        <w:jc w:val="both"/>
        <w:rPr>
          <w:color w:val="212121"/>
          <w:sz w:val="24"/>
          <w:szCs w:val="24"/>
        </w:rPr>
      </w:pPr>
      <w:r>
        <w:rPr>
          <w:color w:val="212121"/>
          <w:sz w:val="24"/>
          <w:szCs w:val="24"/>
        </w:rPr>
        <w:t xml:space="preserve">Il est urgent de réaffirmer notre attachement à la décentralisation et la démocratie locale. </w:t>
      </w:r>
    </w:p>
    <w:p w14:paraId="63EA6E79" w14:textId="77777777" w:rsidR="00761146" w:rsidRDefault="00761146" w:rsidP="00761146">
      <w:pPr>
        <w:jc w:val="both"/>
        <w:rPr>
          <w:color w:val="212121"/>
          <w:sz w:val="24"/>
          <w:szCs w:val="24"/>
        </w:rPr>
      </w:pPr>
    </w:p>
    <w:p w14:paraId="6FCB6F37" w14:textId="5F209847" w:rsidR="003A0A55" w:rsidRDefault="001B6323" w:rsidP="00A56905">
      <w:pPr>
        <w:jc w:val="both"/>
        <w:rPr>
          <w:color w:val="212121"/>
          <w:sz w:val="24"/>
          <w:szCs w:val="24"/>
        </w:rPr>
      </w:pPr>
      <w:r>
        <w:rPr>
          <w:color w:val="212121"/>
          <w:sz w:val="24"/>
          <w:szCs w:val="24"/>
        </w:rPr>
        <w:t xml:space="preserve">En matière d’investissement, </w:t>
      </w:r>
      <w:r w:rsidR="00A56905">
        <w:rPr>
          <w:color w:val="212121"/>
          <w:sz w:val="24"/>
          <w:szCs w:val="24"/>
        </w:rPr>
        <w:t>comment allons-nous pouvoir répondre aux immenses défis qui sont devant nous : renforcer l’équipement des sapeurs-pompiers dont nous avons vu toute l’importance cet été, financer la rénovation thermique des bâtiments publics des collectivités (des gymnases, des écoles, des collèges…), financer la reconstruction de la ville sur elle-même (qui est un immense défi pour protéger la biodiversité</w:t>
      </w:r>
      <w:r w:rsidR="00A56905">
        <w:rPr>
          <w:rStyle w:val="Appelnotedebasdep"/>
          <w:color w:val="212121"/>
          <w:sz w:val="24"/>
          <w:szCs w:val="24"/>
        </w:rPr>
        <w:footnoteReference w:id="2"/>
      </w:r>
      <w:r w:rsidR="00A56905">
        <w:rPr>
          <w:color w:val="212121"/>
          <w:sz w:val="24"/>
          <w:szCs w:val="24"/>
        </w:rPr>
        <w:t xml:space="preserve"> et les terres agricoles ), déployer des services en communs pour limiter l’usage de la voiture et préserver le pouvoir d’achat des français ? </w:t>
      </w:r>
      <w:r w:rsidR="003A0A55">
        <w:rPr>
          <w:color w:val="212121"/>
          <w:sz w:val="24"/>
          <w:szCs w:val="24"/>
        </w:rPr>
        <w:t>Les budgets des collectivités locales sont exsangues, étranglés par la première mandature de Macron et la suppression de leurs libertés de taux</w:t>
      </w:r>
      <w:r w:rsidR="003A0A55">
        <w:rPr>
          <w:rStyle w:val="Appelnotedebasdep"/>
          <w:color w:val="212121"/>
          <w:sz w:val="24"/>
          <w:szCs w:val="24"/>
        </w:rPr>
        <w:footnoteReference w:id="3"/>
      </w:r>
      <w:r w:rsidR="003A0A55">
        <w:rPr>
          <w:color w:val="212121"/>
          <w:sz w:val="24"/>
          <w:szCs w:val="24"/>
        </w:rPr>
        <w:t>.</w:t>
      </w:r>
    </w:p>
    <w:p w14:paraId="000E3293" w14:textId="77777777" w:rsidR="001B6323" w:rsidRDefault="001B6323" w:rsidP="00761146">
      <w:pPr>
        <w:jc w:val="both"/>
        <w:rPr>
          <w:color w:val="212121"/>
          <w:sz w:val="24"/>
          <w:szCs w:val="24"/>
        </w:rPr>
      </w:pPr>
    </w:p>
    <w:p w14:paraId="7EA2FFA7" w14:textId="06E20975" w:rsidR="003A0A55" w:rsidRDefault="003A0A55" w:rsidP="00761146">
      <w:pPr>
        <w:jc w:val="both"/>
        <w:rPr>
          <w:color w:val="212121"/>
          <w:sz w:val="24"/>
          <w:szCs w:val="24"/>
        </w:rPr>
      </w:pPr>
      <w:r>
        <w:rPr>
          <w:color w:val="212121"/>
          <w:sz w:val="24"/>
          <w:szCs w:val="24"/>
        </w:rPr>
        <w:t>Mais plus encore peut-être que pour l’investissement, c’est bien en matière de fonctionnement que les collectivités locales sont les plus indispensables à notre cohésion sociale. Le budget de fonctionnement des collectivités</w:t>
      </w:r>
      <w:r w:rsidR="00AB41AC">
        <w:rPr>
          <w:color w:val="212121"/>
          <w:sz w:val="24"/>
          <w:szCs w:val="24"/>
        </w:rPr>
        <w:t xml:space="preserve"> permet de financer le</w:t>
      </w:r>
      <w:r w:rsidR="00A56905">
        <w:rPr>
          <w:color w:val="212121"/>
          <w:sz w:val="24"/>
          <w:szCs w:val="24"/>
        </w:rPr>
        <w:t>s emplois des travailleurs de proximité, mais aussi toute l’action sociale dont peuvent bénéficier celles et ceux, toujours plus nombreux qui en ont besoin.</w:t>
      </w:r>
    </w:p>
    <w:p w14:paraId="1B308426" w14:textId="77777777" w:rsidR="003A0A55" w:rsidRDefault="003A0A55" w:rsidP="00761146">
      <w:pPr>
        <w:jc w:val="both"/>
        <w:rPr>
          <w:color w:val="212121"/>
          <w:sz w:val="24"/>
          <w:szCs w:val="24"/>
        </w:rPr>
      </w:pPr>
    </w:p>
    <w:p w14:paraId="3AF12E14" w14:textId="69ECECB3" w:rsidR="00735324" w:rsidRDefault="00A56905" w:rsidP="00735324">
      <w:pPr>
        <w:jc w:val="both"/>
        <w:rPr>
          <w:color w:val="212121"/>
          <w:sz w:val="24"/>
          <w:szCs w:val="24"/>
        </w:rPr>
      </w:pPr>
      <w:r>
        <w:rPr>
          <w:color w:val="212121"/>
          <w:sz w:val="24"/>
          <w:szCs w:val="24"/>
        </w:rPr>
        <w:t>Ainsi q</w:t>
      </w:r>
      <w:r w:rsidR="00761146">
        <w:rPr>
          <w:color w:val="212121"/>
          <w:sz w:val="24"/>
          <w:szCs w:val="24"/>
        </w:rPr>
        <w:t xml:space="preserve">uand l’Etat prend la (très bonne) décision d’augmenter enfin le point d’indice des fonctionnaires de 3,5 % (il n’avait pas bougé depuis 2017), il ne transfert pas aux collectivités la dotation financière correspondante. </w:t>
      </w:r>
      <w:r w:rsidR="00735324">
        <w:rPr>
          <w:color w:val="212121"/>
          <w:sz w:val="24"/>
          <w:szCs w:val="24"/>
        </w:rPr>
        <w:t>Il se produit alors un effet de ciseau puisqu’une collectivité, au contraire de l’Etat, n’a pas le droit de financer ses pertes par de la dette</w:t>
      </w:r>
      <w:r w:rsidR="00735324">
        <w:rPr>
          <w:rStyle w:val="Appelnotedebasdep"/>
          <w:color w:val="212121"/>
          <w:sz w:val="24"/>
          <w:szCs w:val="24"/>
        </w:rPr>
        <w:footnoteReference w:id="4"/>
      </w:r>
      <w:r w:rsidR="00735324">
        <w:rPr>
          <w:color w:val="212121"/>
          <w:sz w:val="24"/>
          <w:szCs w:val="24"/>
        </w:rPr>
        <w:t xml:space="preserve">. </w:t>
      </w:r>
    </w:p>
    <w:p w14:paraId="2CC67431" w14:textId="5895C4BF" w:rsidR="00D1247A" w:rsidRDefault="00D1247A" w:rsidP="00761146">
      <w:pPr>
        <w:jc w:val="both"/>
        <w:rPr>
          <w:color w:val="212121"/>
          <w:sz w:val="24"/>
          <w:szCs w:val="24"/>
        </w:rPr>
      </w:pPr>
    </w:p>
    <w:p w14:paraId="233CDF8B" w14:textId="36D26D34" w:rsidR="00D1247A" w:rsidRDefault="00D1247A" w:rsidP="00761146">
      <w:pPr>
        <w:jc w:val="both"/>
        <w:rPr>
          <w:color w:val="212121"/>
          <w:sz w:val="24"/>
          <w:szCs w:val="24"/>
        </w:rPr>
      </w:pPr>
      <w:r>
        <w:rPr>
          <w:color w:val="212121"/>
          <w:sz w:val="24"/>
          <w:szCs w:val="24"/>
        </w:rPr>
        <w:t>Entre le Ségur, le point d’indice des fonctionnaires, l’avenant 43</w:t>
      </w:r>
      <w:r>
        <w:rPr>
          <w:rStyle w:val="Appelnotedebasdep"/>
          <w:color w:val="212121"/>
          <w:sz w:val="24"/>
          <w:szCs w:val="24"/>
        </w:rPr>
        <w:footnoteReference w:id="5"/>
      </w:r>
      <w:r>
        <w:rPr>
          <w:color w:val="212121"/>
          <w:sz w:val="24"/>
          <w:szCs w:val="24"/>
        </w:rPr>
        <w:t xml:space="preserve">, et la hausse des coûts énergétiques, c’est en moyenne 5% de dépenses supplémentaires qui vont peser sur les fonctionnements des exécutifs locaux. Pour autant, la Première Ministre cherche tout de même </w:t>
      </w:r>
      <w:r w:rsidR="00A56905">
        <w:rPr>
          <w:color w:val="212121"/>
          <w:sz w:val="24"/>
          <w:szCs w:val="24"/>
        </w:rPr>
        <w:t>à réinstaller une sorte de contrat de Cahors</w:t>
      </w:r>
      <w:r w:rsidR="00A56905">
        <w:rPr>
          <w:rStyle w:val="Appelnotedebasdep"/>
          <w:color w:val="212121"/>
          <w:sz w:val="24"/>
          <w:szCs w:val="24"/>
        </w:rPr>
        <w:footnoteReference w:id="6"/>
      </w:r>
      <w:r w:rsidR="00A56905">
        <w:rPr>
          <w:color w:val="212121"/>
          <w:sz w:val="24"/>
          <w:szCs w:val="24"/>
        </w:rPr>
        <w:t xml:space="preserve">, </w:t>
      </w:r>
      <w:r>
        <w:rPr>
          <w:color w:val="212121"/>
          <w:sz w:val="24"/>
          <w:szCs w:val="24"/>
        </w:rPr>
        <w:t>un moyen de caper les dépenses publiques de fonctionnement des collectivités, ce qui aboutira inévitablement à réduire leurs capacités d’intervention.</w:t>
      </w:r>
    </w:p>
    <w:p w14:paraId="01E29901" w14:textId="07AD1606" w:rsidR="0005166C" w:rsidRDefault="0005166C" w:rsidP="00761146">
      <w:pPr>
        <w:jc w:val="both"/>
        <w:rPr>
          <w:color w:val="212121"/>
          <w:sz w:val="24"/>
          <w:szCs w:val="24"/>
        </w:rPr>
      </w:pPr>
    </w:p>
    <w:p w14:paraId="6C4085F4" w14:textId="79077FDE" w:rsidR="00761146" w:rsidRDefault="00761146" w:rsidP="00761146">
      <w:pPr>
        <w:jc w:val="both"/>
        <w:rPr>
          <w:color w:val="212121"/>
          <w:sz w:val="24"/>
          <w:szCs w:val="24"/>
        </w:rPr>
      </w:pPr>
      <w:r>
        <w:rPr>
          <w:color w:val="212121"/>
          <w:sz w:val="24"/>
          <w:szCs w:val="24"/>
        </w:rPr>
        <w:t xml:space="preserve">Ainsi par exemple, au département d’Ille et Vilaine, un territoire pourtant privilégié, nous ne sommes plus en mesure de recruter suffisamment d’agents pour répondre aux besoins toujours plus importants en matière de protection de l’enfance, d’urbanisme ou de perte d’autonomie, nous ne pouvons que constater les dégâts, parer au plus pressé et mettre des </w:t>
      </w:r>
      <w:r w:rsidRPr="00633327">
        <w:rPr>
          <w:i/>
          <w:color w:val="212121"/>
          <w:sz w:val="24"/>
          <w:szCs w:val="24"/>
        </w:rPr>
        <w:t>pansements sur des jambes de bois</w:t>
      </w:r>
      <w:r>
        <w:rPr>
          <w:color w:val="212121"/>
          <w:sz w:val="24"/>
          <w:szCs w:val="24"/>
        </w:rPr>
        <w:t xml:space="preserve">. </w:t>
      </w:r>
      <w:r w:rsidR="00735324">
        <w:rPr>
          <w:color w:val="212121"/>
          <w:sz w:val="24"/>
          <w:szCs w:val="24"/>
        </w:rPr>
        <w:t xml:space="preserve">Comment allons-nous </w:t>
      </w:r>
      <w:r w:rsidR="00A56905">
        <w:rPr>
          <w:color w:val="212121"/>
          <w:sz w:val="24"/>
          <w:szCs w:val="24"/>
        </w:rPr>
        <w:t>faire face au vieillissement de la population qui va immanquablement augmenter les besoins en matière d’accompagnemen</w:t>
      </w:r>
      <w:r w:rsidR="00735324">
        <w:rPr>
          <w:color w:val="212121"/>
          <w:sz w:val="24"/>
          <w:szCs w:val="24"/>
        </w:rPr>
        <w:t>t</w:t>
      </w:r>
      <w:r w:rsidR="00A56905">
        <w:rPr>
          <w:rStyle w:val="Appelnotedebasdep"/>
          <w:color w:val="212121"/>
          <w:sz w:val="24"/>
          <w:szCs w:val="24"/>
        </w:rPr>
        <w:footnoteReference w:id="7"/>
      </w:r>
      <w:r w:rsidR="00A56905">
        <w:rPr>
          <w:color w:val="212121"/>
          <w:sz w:val="24"/>
          <w:szCs w:val="24"/>
        </w:rPr>
        <w:t xml:space="preserve"> ? </w:t>
      </w:r>
      <w:r w:rsidR="00735324">
        <w:rPr>
          <w:color w:val="212121"/>
          <w:sz w:val="24"/>
          <w:szCs w:val="24"/>
        </w:rPr>
        <w:t xml:space="preserve">Comment allons-nous faire face à la paupérisation toujours plus grande </w:t>
      </w:r>
      <w:r w:rsidR="005239BA">
        <w:rPr>
          <w:color w:val="212121"/>
          <w:sz w:val="24"/>
          <w:szCs w:val="24"/>
        </w:rPr>
        <w:t xml:space="preserve">de </w:t>
      </w:r>
      <w:r w:rsidR="00735324">
        <w:rPr>
          <w:color w:val="212121"/>
          <w:sz w:val="24"/>
          <w:szCs w:val="24"/>
        </w:rPr>
        <w:t>nos citoyens</w:t>
      </w:r>
      <w:r w:rsidR="00735324">
        <w:rPr>
          <w:rStyle w:val="Appelnotedebasdep"/>
          <w:color w:val="212121"/>
          <w:sz w:val="24"/>
          <w:szCs w:val="24"/>
        </w:rPr>
        <w:footnoteReference w:id="8"/>
      </w:r>
      <w:r w:rsidR="00735324">
        <w:rPr>
          <w:color w:val="212121"/>
          <w:sz w:val="24"/>
          <w:szCs w:val="24"/>
        </w:rPr>
        <w:t> ?</w:t>
      </w:r>
    </w:p>
    <w:p w14:paraId="025FCD04" w14:textId="77777777" w:rsidR="00761146" w:rsidRDefault="00761146" w:rsidP="00761146">
      <w:pPr>
        <w:jc w:val="both"/>
        <w:rPr>
          <w:color w:val="212121"/>
          <w:sz w:val="24"/>
          <w:szCs w:val="24"/>
        </w:rPr>
      </w:pPr>
    </w:p>
    <w:p w14:paraId="3048D12B" w14:textId="27BD2C8C" w:rsidR="00761146" w:rsidRDefault="00761146" w:rsidP="00761146">
      <w:pPr>
        <w:jc w:val="both"/>
        <w:rPr>
          <w:color w:val="212121"/>
          <w:sz w:val="24"/>
          <w:szCs w:val="24"/>
        </w:rPr>
      </w:pPr>
      <w:r>
        <w:rPr>
          <w:color w:val="212121"/>
          <w:sz w:val="24"/>
          <w:szCs w:val="24"/>
        </w:rPr>
        <w:t xml:space="preserve">Aujourd’hui de très nombreux </w:t>
      </w:r>
      <w:proofErr w:type="spellStart"/>
      <w:r>
        <w:rPr>
          <w:color w:val="212121"/>
          <w:sz w:val="24"/>
          <w:szCs w:val="24"/>
        </w:rPr>
        <w:t>élu.</w:t>
      </w:r>
      <w:proofErr w:type="gramStart"/>
      <w:r>
        <w:rPr>
          <w:color w:val="212121"/>
          <w:sz w:val="24"/>
          <w:szCs w:val="24"/>
        </w:rPr>
        <w:t>e.s</w:t>
      </w:r>
      <w:proofErr w:type="spellEnd"/>
      <w:proofErr w:type="gramEnd"/>
      <w:r>
        <w:rPr>
          <w:color w:val="212121"/>
          <w:sz w:val="24"/>
          <w:szCs w:val="24"/>
        </w:rPr>
        <w:t xml:space="preserve"> </w:t>
      </w:r>
      <w:r w:rsidR="00A56905">
        <w:rPr>
          <w:color w:val="212121"/>
          <w:sz w:val="24"/>
          <w:szCs w:val="24"/>
        </w:rPr>
        <w:t>locaux</w:t>
      </w:r>
      <w:r>
        <w:rPr>
          <w:color w:val="212121"/>
          <w:sz w:val="24"/>
          <w:szCs w:val="24"/>
        </w:rPr>
        <w:t xml:space="preserve"> s’inquiètent de la situation et souffrent de ne pas pouvoir y répondre suffisamment. Même les plus </w:t>
      </w:r>
      <w:proofErr w:type="spellStart"/>
      <w:r>
        <w:rPr>
          <w:color w:val="212121"/>
          <w:sz w:val="24"/>
          <w:szCs w:val="24"/>
        </w:rPr>
        <w:t>actif.ves</w:t>
      </w:r>
      <w:proofErr w:type="spellEnd"/>
      <w:r>
        <w:rPr>
          <w:color w:val="212121"/>
          <w:sz w:val="24"/>
          <w:szCs w:val="24"/>
        </w:rPr>
        <w:t xml:space="preserve"> ne parviennent guère à endiguer l’appauvrissement global engendré par les politiques néolibérales de Macron, et nous savons bien toujours à quel parti la misère prépare finalement le lit… </w:t>
      </w:r>
    </w:p>
    <w:p w14:paraId="748D39BC" w14:textId="77777777" w:rsidR="00761146" w:rsidRDefault="00761146" w:rsidP="00761146">
      <w:pPr>
        <w:jc w:val="both"/>
        <w:rPr>
          <w:color w:val="212121"/>
          <w:sz w:val="24"/>
          <w:szCs w:val="24"/>
        </w:rPr>
      </w:pPr>
    </w:p>
    <w:p w14:paraId="1A7BFDF8" w14:textId="5395AA2D" w:rsidR="00860D28" w:rsidRDefault="00860D28" w:rsidP="00860D28">
      <w:pPr>
        <w:jc w:val="both"/>
        <w:rPr>
          <w:color w:val="212121"/>
          <w:sz w:val="24"/>
          <w:szCs w:val="24"/>
        </w:rPr>
      </w:pPr>
      <w:r>
        <w:rPr>
          <w:color w:val="212121"/>
          <w:sz w:val="24"/>
          <w:szCs w:val="24"/>
        </w:rPr>
        <w:t>Avec la suppression de la CVAE</w:t>
      </w:r>
      <w:r>
        <w:rPr>
          <w:rStyle w:val="Appelnotedebasdep"/>
          <w:color w:val="212121"/>
          <w:sz w:val="24"/>
          <w:szCs w:val="24"/>
        </w:rPr>
        <w:footnoteReference w:id="9"/>
      </w:r>
      <w:r>
        <w:rPr>
          <w:color w:val="212121"/>
          <w:sz w:val="24"/>
          <w:szCs w:val="24"/>
        </w:rPr>
        <w:t xml:space="preserve"> (Contribution sur la Valeur Ajoutée des Entreprises) annoncée par Elisabeth Borne dès sa prise de fonction, c’est à nouveau </w:t>
      </w:r>
      <w:r w:rsidR="00B94C1E">
        <w:rPr>
          <w:color w:val="212121"/>
          <w:sz w:val="24"/>
          <w:szCs w:val="24"/>
        </w:rPr>
        <w:t>plusieurs</w:t>
      </w:r>
      <w:r>
        <w:rPr>
          <w:color w:val="212121"/>
          <w:sz w:val="24"/>
          <w:szCs w:val="24"/>
        </w:rPr>
        <w:t xml:space="preserve"> Milliards d’€ d’un impôt juste (car progressif en fonction de la taille des entreprises) et dynamique (car récompensant les territoires économiquement attractifs) dont l’Etat va priver les collectivités. </w:t>
      </w:r>
      <w:r w:rsidR="00B95734">
        <w:rPr>
          <w:color w:val="212121"/>
          <w:sz w:val="24"/>
          <w:szCs w:val="24"/>
        </w:rPr>
        <w:t>Certes</w:t>
      </w:r>
      <w:r>
        <w:rPr>
          <w:color w:val="212121"/>
          <w:sz w:val="24"/>
          <w:szCs w:val="24"/>
        </w:rPr>
        <w:t>, le gouvernement argue qu’il compensera la CVAE par une dotation aux collectivités</w:t>
      </w:r>
      <w:r w:rsidR="00B95734">
        <w:rPr>
          <w:color w:val="212121"/>
          <w:sz w:val="24"/>
          <w:szCs w:val="24"/>
        </w:rPr>
        <w:t xml:space="preserve">. </w:t>
      </w:r>
      <w:r>
        <w:rPr>
          <w:color w:val="212121"/>
          <w:sz w:val="24"/>
          <w:szCs w:val="24"/>
        </w:rPr>
        <w:t xml:space="preserve">Mais remplacer un impôt dynamique par une dotation de l’Etat n’est pas équitable. D’abord </w:t>
      </w:r>
      <w:proofErr w:type="gramStart"/>
      <w:r w:rsidR="00B95734">
        <w:rPr>
          <w:color w:val="212121"/>
          <w:sz w:val="24"/>
          <w:szCs w:val="24"/>
        </w:rPr>
        <w:t xml:space="preserve">cette </w:t>
      </w:r>
      <w:r>
        <w:rPr>
          <w:color w:val="212121"/>
          <w:sz w:val="24"/>
          <w:szCs w:val="24"/>
        </w:rPr>
        <w:t xml:space="preserve"> dotation</w:t>
      </w:r>
      <w:proofErr w:type="gramEnd"/>
      <w:r>
        <w:rPr>
          <w:color w:val="212121"/>
          <w:sz w:val="24"/>
          <w:szCs w:val="24"/>
        </w:rPr>
        <w:t xml:space="preserve"> </w:t>
      </w:r>
      <w:r w:rsidR="00B95734">
        <w:rPr>
          <w:color w:val="212121"/>
          <w:sz w:val="24"/>
          <w:szCs w:val="24"/>
        </w:rPr>
        <w:t xml:space="preserve">sera </w:t>
      </w:r>
      <w:r>
        <w:rPr>
          <w:color w:val="212121"/>
          <w:sz w:val="24"/>
          <w:szCs w:val="24"/>
        </w:rPr>
        <w:t xml:space="preserve"> figée, ne </w:t>
      </w:r>
      <w:r w:rsidR="00B95734">
        <w:rPr>
          <w:color w:val="212121"/>
          <w:sz w:val="24"/>
          <w:szCs w:val="24"/>
        </w:rPr>
        <w:t xml:space="preserve">tiendra pas compte </w:t>
      </w:r>
      <w:r>
        <w:rPr>
          <w:color w:val="212121"/>
          <w:sz w:val="24"/>
          <w:szCs w:val="24"/>
        </w:rPr>
        <w:t xml:space="preserve"> de l’activité du territoire ou de l’inflation. </w:t>
      </w:r>
      <w:r w:rsidR="00B95734">
        <w:rPr>
          <w:color w:val="212121"/>
          <w:sz w:val="24"/>
          <w:szCs w:val="24"/>
        </w:rPr>
        <w:t xml:space="preserve">Plus fondamentalement  </w:t>
      </w:r>
      <w:r>
        <w:rPr>
          <w:color w:val="212121"/>
          <w:sz w:val="24"/>
          <w:szCs w:val="24"/>
        </w:rPr>
        <w:t xml:space="preserve"> la collectivité </w:t>
      </w:r>
      <w:r w:rsidR="00B95734">
        <w:rPr>
          <w:color w:val="212121"/>
          <w:sz w:val="24"/>
          <w:szCs w:val="24"/>
        </w:rPr>
        <w:t xml:space="preserve">est </w:t>
      </w:r>
      <w:proofErr w:type="gramStart"/>
      <w:r w:rsidR="00B95734">
        <w:rPr>
          <w:color w:val="212121"/>
          <w:sz w:val="24"/>
          <w:szCs w:val="24"/>
        </w:rPr>
        <w:t>rendue  encore</w:t>
      </w:r>
      <w:proofErr w:type="gramEnd"/>
      <w:r w:rsidR="00B95734">
        <w:rPr>
          <w:color w:val="212121"/>
          <w:sz w:val="24"/>
          <w:szCs w:val="24"/>
        </w:rPr>
        <w:t xml:space="preserve"> plus  dépendante du bon vouloir l’Etat et perd toute liberté</w:t>
      </w:r>
      <w:r>
        <w:rPr>
          <w:color w:val="212121"/>
          <w:sz w:val="24"/>
          <w:szCs w:val="24"/>
        </w:rPr>
        <w:t>. Or qu’est-ce qu’une collectivité sans liberté politique ?</w:t>
      </w:r>
    </w:p>
    <w:p w14:paraId="68ECCD57" w14:textId="77777777" w:rsidR="00761146" w:rsidRDefault="00761146" w:rsidP="00761146">
      <w:pPr>
        <w:jc w:val="both"/>
        <w:rPr>
          <w:color w:val="212121"/>
          <w:sz w:val="24"/>
          <w:szCs w:val="24"/>
        </w:rPr>
      </w:pPr>
    </w:p>
    <w:p w14:paraId="1001D9B3" w14:textId="77777777" w:rsidR="00735324" w:rsidRDefault="00735324" w:rsidP="0048792B">
      <w:pPr>
        <w:jc w:val="both"/>
        <w:rPr>
          <w:color w:val="212121"/>
          <w:sz w:val="24"/>
          <w:szCs w:val="24"/>
        </w:rPr>
      </w:pPr>
    </w:p>
    <w:p w14:paraId="53025B50" w14:textId="596F7C86" w:rsidR="00144CBB" w:rsidRDefault="00144CBB" w:rsidP="00144CBB">
      <w:pPr>
        <w:pStyle w:val="Textebrut"/>
      </w:pPr>
      <w:r>
        <w:t>C’est pourquoi,</w:t>
      </w:r>
      <w:r w:rsidR="001C45AB">
        <w:t xml:space="preserve"> </w:t>
      </w:r>
      <w:r>
        <w:t>nous, collectivités locales demandons à l'État :</w:t>
      </w:r>
    </w:p>
    <w:p w14:paraId="135BA83E" w14:textId="77777777" w:rsidR="004B3A34" w:rsidRDefault="004B3A34" w:rsidP="00144CBB">
      <w:pPr>
        <w:pStyle w:val="Textebrut"/>
      </w:pPr>
    </w:p>
    <w:p w14:paraId="1C75E049" w14:textId="66F6565A" w:rsidR="00144CBB" w:rsidRPr="00634035" w:rsidRDefault="00144CBB" w:rsidP="00144CBB">
      <w:pPr>
        <w:pStyle w:val="Textebrut"/>
        <w:rPr>
          <w:b/>
        </w:rPr>
      </w:pPr>
      <w:r>
        <w:t xml:space="preserve">1) de ne plus supprimer d'impôts perçus par les collectivités locales et de </w:t>
      </w:r>
      <w:r w:rsidRPr="00634035">
        <w:rPr>
          <w:b/>
        </w:rPr>
        <w:t>renoncer à la suppression de la CVAE.</w:t>
      </w:r>
    </w:p>
    <w:p w14:paraId="712A0A49" w14:textId="77777777" w:rsidR="00144CBB" w:rsidRPr="00634035" w:rsidRDefault="00144CBB" w:rsidP="00144CBB">
      <w:pPr>
        <w:pStyle w:val="Textebrut"/>
        <w:rPr>
          <w:i/>
        </w:rPr>
      </w:pPr>
      <w:r>
        <w:t xml:space="preserve">2) De </w:t>
      </w:r>
      <w:r w:rsidRPr="00634035">
        <w:rPr>
          <w:b/>
        </w:rPr>
        <w:t>compenser les charges qu'il impose aux collectivités</w:t>
      </w:r>
      <w:r>
        <w:t xml:space="preserve"> quelles qu'en soit la justification, tels que l'augmentation du point d'indice (</w:t>
      </w:r>
      <w:r w:rsidRPr="00634035">
        <w:rPr>
          <w:i/>
        </w:rPr>
        <w:t>qui pourrait d'ailleurs de nouveaux augmenter si l'inflation continue à progresser).</w:t>
      </w:r>
    </w:p>
    <w:p w14:paraId="74D99471" w14:textId="77777777" w:rsidR="00144CBB" w:rsidRDefault="00144CBB" w:rsidP="00144CBB">
      <w:pPr>
        <w:pStyle w:val="Textebrut"/>
      </w:pPr>
      <w:r>
        <w:t xml:space="preserve">3) de </w:t>
      </w:r>
      <w:r w:rsidRPr="00634035">
        <w:rPr>
          <w:b/>
        </w:rPr>
        <w:t>soutenir les collectivités face aux contraintes budgétaires</w:t>
      </w:r>
      <w:r>
        <w:t xml:space="preserve"> extérieures qui s'imposent à elles</w:t>
      </w:r>
    </w:p>
    <w:p w14:paraId="5A20B20E" w14:textId="49CA719A" w:rsidR="00144CBB" w:rsidRDefault="00144CBB" w:rsidP="00144CBB">
      <w:pPr>
        <w:pStyle w:val="Textebrut"/>
      </w:pPr>
      <w:r>
        <w:t>: réguler le prix de l'énergie pour les collectivités publiques et indexer les dotations sur l'inflation.</w:t>
      </w:r>
    </w:p>
    <w:p w14:paraId="7674F29E" w14:textId="77777777" w:rsidR="00792548" w:rsidRDefault="00792548" w:rsidP="00144CBB">
      <w:pPr>
        <w:pStyle w:val="Textebrut"/>
      </w:pPr>
    </w:p>
    <w:p w14:paraId="78C45413" w14:textId="62B5C028" w:rsidR="001C45AB" w:rsidRDefault="00144CBB" w:rsidP="00144CBB">
      <w:pPr>
        <w:pStyle w:val="Textebrut"/>
      </w:pPr>
      <w:r w:rsidRPr="00634035">
        <w:rPr>
          <w:b/>
        </w:rPr>
        <w:t xml:space="preserve">4) </w:t>
      </w:r>
      <w:r w:rsidR="001C45AB" w:rsidRPr="00634035">
        <w:rPr>
          <w:b/>
        </w:rPr>
        <w:t>de redonner des marges de manœuvre fiscales aux collectivités.</w:t>
      </w:r>
      <w:r>
        <w:t xml:space="preserve"> </w:t>
      </w:r>
      <w:r w:rsidR="001C45AB">
        <w:t>(</w:t>
      </w:r>
      <w:r w:rsidR="00792548" w:rsidRPr="00022E44">
        <w:rPr>
          <w:i/>
        </w:rPr>
        <w:t>Il</w:t>
      </w:r>
      <w:r w:rsidR="00022E44" w:rsidRPr="00634035">
        <w:rPr>
          <w:i/>
        </w:rPr>
        <w:t xml:space="preserve"> ne s’agit pas d’</w:t>
      </w:r>
      <w:r w:rsidR="00792548" w:rsidRPr="00022E44">
        <w:rPr>
          <w:i/>
        </w:rPr>
        <w:t>impôt</w:t>
      </w:r>
      <w:r w:rsidR="00022E44" w:rsidRPr="00634035">
        <w:rPr>
          <w:i/>
        </w:rPr>
        <w:t xml:space="preserve"> supplémentaire mais d’un </w:t>
      </w:r>
      <w:r w:rsidRPr="00634035">
        <w:rPr>
          <w:i/>
        </w:rPr>
        <w:t>rattrap</w:t>
      </w:r>
      <w:r w:rsidR="001C45AB" w:rsidRPr="00634035">
        <w:rPr>
          <w:i/>
        </w:rPr>
        <w:t>age</w:t>
      </w:r>
      <w:r w:rsidR="001C45AB">
        <w:rPr>
          <w:i/>
        </w:rPr>
        <w:t xml:space="preserve"> d</w:t>
      </w:r>
      <w:r w:rsidRPr="00634035">
        <w:rPr>
          <w:i/>
        </w:rPr>
        <w:t xml:space="preserve">es </w:t>
      </w:r>
      <w:r w:rsidR="001C45AB" w:rsidRPr="00634035">
        <w:rPr>
          <w:i/>
        </w:rPr>
        <w:t xml:space="preserve">exonérations </w:t>
      </w:r>
      <w:r w:rsidRPr="00634035">
        <w:rPr>
          <w:i/>
        </w:rPr>
        <w:t>multiples du passé</w:t>
      </w:r>
      <w:r w:rsidR="00792548">
        <w:rPr>
          <w:i/>
        </w:rPr>
        <w:t> :</w:t>
      </w:r>
      <w:r w:rsidR="00792548" w:rsidRPr="001C45AB">
        <w:rPr>
          <w:i/>
        </w:rPr>
        <w:t xml:space="preserve"> niches</w:t>
      </w:r>
      <w:r w:rsidRPr="00634035">
        <w:rPr>
          <w:i/>
        </w:rPr>
        <w:t xml:space="preserve"> de </w:t>
      </w:r>
      <w:r w:rsidR="00792548" w:rsidRPr="001C45AB">
        <w:rPr>
          <w:i/>
        </w:rPr>
        <w:t>l’impôt</w:t>
      </w:r>
      <w:r w:rsidRPr="00634035">
        <w:rPr>
          <w:i/>
        </w:rPr>
        <w:t xml:space="preserve"> sur le revenu, </w:t>
      </w:r>
      <w:r w:rsidR="00022E44">
        <w:rPr>
          <w:i/>
        </w:rPr>
        <w:t>sur l’</w:t>
      </w:r>
      <w:r w:rsidRPr="00634035">
        <w:rPr>
          <w:i/>
        </w:rPr>
        <w:t xml:space="preserve">ISF, </w:t>
      </w:r>
      <w:r w:rsidR="00022E44">
        <w:rPr>
          <w:i/>
        </w:rPr>
        <w:t xml:space="preserve">la </w:t>
      </w:r>
      <w:r w:rsidRPr="00634035">
        <w:rPr>
          <w:i/>
        </w:rPr>
        <w:t xml:space="preserve">flat </w:t>
      </w:r>
      <w:proofErr w:type="spellStart"/>
      <w:r w:rsidRPr="00634035">
        <w:rPr>
          <w:i/>
        </w:rPr>
        <w:t>tax</w:t>
      </w:r>
      <w:proofErr w:type="spellEnd"/>
      <w:r w:rsidRPr="00634035">
        <w:rPr>
          <w:i/>
        </w:rPr>
        <w:t xml:space="preserve">, </w:t>
      </w:r>
      <w:r w:rsidR="00022E44">
        <w:rPr>
          <w:i/>
        </w:rPr>
        <w:t xml:space="preserve">les </w:t>
      </w:r>
      <w:r w:rsidRPr="00634035">
        <w:rPr>
          <w:i/>
        </w:rPr>
        <w:t>impôts de production, taxe d’habitation et potentiellement CVAE</w:t>
      </w:r>
      <w:r w:rsidR="00792548" w:rsidRPr="001C45AB">
        <w:rPr>
          <w:i/>
        </w:rPr>
        <w:t>)</w:t>
      </w:r>
      <w:r w:rsidR="00792548">
        <w:t>.</w:t>
      </w:r>
      <w:r w:rsidR="00EA4C93">
        <w:t xml:space="preserve"> </w:t>
      </w:r>
      <w:r>
        <w:t xml:space="preserve">Pour financer la transition écologique et la justice sociale sur les territoires, l'État doit créer une nouvelle ressource </w:t>
      </w:r>
      <w:r w:rsidRPr="00634035">
        <w:rPr>
          <w:b/>
        </w:rPr>
        <w:t xml:space="preserve">fiscale </w:t>
      </w:r>
      <w:r w:rsidR="001C45AB" w:rsidRPr="00634035">
        <w:rPr>
          <w:b/>
        </w:rPr>
        <w:t xml:space="preserve">dynamique </w:t>
      </w:r>
      <w:r w:rsidRPr="00634035">
        <w:rPr>
          <w:b/>
        </w:rPr>
        <w:t>affecté</w:t>
      </w:r>
      <w:r w:rsidR="001C45AB" w:rsidRPr="00634035">
        <w:rPr>
          <w:b/>
        </w:rPr>
        <w:t xml:space="preserve">e </w:t>
      </w:r>
      <w:r w:rsidRPr="00634035">
        <w:rPr>
          <w:b/>
        </w:rPr>
        <w:t>aux collectivités locales</w:t>
      </w:r>
      <w:r>
        <w:t>. Par souci d'efficacité et de justice sociale, nous proposons plusieurs pistes </w:t>
      </w:r>
      <w:r w:rsidR="00022E44">
        <w:t>susceptibles d’a</w:t>
      </w:r>
      <w:r w:rsidR="00EA4C93">
        <w:t>gi</w:t>
      </w:r>
      <w:r w:rsidR="00022E44">
        <w:t>r</w:t>
      </w:r>
      <w:r w:rsidR="00EA4C93">
        <w:t xml:space="preserve"> simultanément</w:t>
      </w:r>
      <w:r w:rsidR="001C45AB">
        <w:t xml:space="preserve"> </w:t>
      </w:r>
      <w:r w:rsidR="00EA4C93">
        <w:t>sur l</w:t>
      </w:r>
      <w:r w:rsidR="001C45AB">
        <w:t>es dysfonctionnements actuels de notre économie. En effet c</w:t>
      </w:r>
      <w:r w:rsidR="00EA4C93">
        <w:t>elle</w:t>
      </w:r>
      <w:r w:rsidR="001C45AB">
        <w:t>–ci génère</w:t>
      </w:r>
      <w:r>
        <w:t xml:space="preserve"> </w:t>
      </w:r>
      <w:r w:rsidR="001C45AB">
        <w:t>essentiellement des</w:t>
      </w:r>
      <w:r>
        <w:t xml:space="preserve"> </w:t>
      </w:r>
      <w:r w:rsidR="001C45AB">
        <w:t>plus-values</w:t>
      </w:r>
      <w:r>
        <w:t xml:space="preserve"> d’achat vente de court terme</w:t>
      </w:r>
      <w:r w:rsidR="002E4009">
        <w:t> </w:t>
      </w:r>
      <w:proofErr w:type="gramStart"/>
      <w:r w:rsidR="002E4009">
        <w:t xml:space="preserve">; </w:t>
      </w:r>
      <w:r>
        <w:t xml:space="preserve"> </w:t>
      </w:r>
      <w:r w:rsidR="002E4009">
        <w:t>de</w:t>
      </w:r>
      <w:proofErr w:type="gramEnd"/>
      <w:r w:rsidR="002E4009">
        <w:t xml:space="preserve"> plus </w:t>
      </w:r>
      <w:r>
        <w:t xml:space="preserve">l’argent </w:t>
      </w:r>
      <w:r w:rsidR="001C45AB">
        <w:t>accumulé</w:t>
      </w:r>
      <w:r w:rsidR="004B3A34">
        <w:t>,</w:t>
      </w:r>
      <w:r w:rsidR="001C45AB">
        <w:t xml:space="preserve"> au lieu </w:t>
      </w:r>
      <w:r w:rsidR="004B3A34">
        <w:t xml:space="preserve">de </w:t>
      </w:r>
      <w:r>
        <w:t>se réinvesti</w:t>
      </w:r>
      <w:r w:rsidR="001C45AB">
        <w:t>r</w:t>
      </w:r>
      <w:r>
        <w:t xml:space="preserve"> dans le long </w:t>
      </w:r>
      <w:r w:rsidR="001C45AB">
        <w:t xml:space="preserve">terme </w:t>
      </w:r>
      <w:r w:rsidR="00EA4C93">
        <w:t>et la réindustrialisation écologique et sociale</w:t>
      </w:r>
      <w:r w:rsidR="004B3A34">
        <w:t>,</w:t>
      </w:r>
      <w:r w:rsidR="00EA4C93">
        <w:t xml:space="preserve"> </w:t>
      </w:r>
      <w:r w:rsidR="002E4009">
        <w:t xml:space="preserve">accroit </w:t>
      </w:r>
      <w:r w:rsidR="001C45AB">
        <w:t xml:space="preserve"> les phénomènes spéculatifs.</w:t>
      </w:r>
      <w:r>
        <w:t xml:space="preserve"> </w:t>
      </w:r>
    </w:p>
    <w:p w14:paraId="5D4A6259" w14:textId="78BA493B" w:rsidR="00EA4C93" w:rsidRPr="00634035" w:rsidRDefault="001C45AB" w:rsidP="00144CBB">
      <w:pPr>
        <w:pStyle w:val="Textebrut"/>
        <w:rPr>
          <w:i/>
        </w:rPr>
      </w:pPr>
      <w:r>
        <w:t xml:space="preserve"> Piste 1 : </w:t>
      </w:r>
      <w:r w:rsidRPr="00634035">
        <w:rPr>
          <w:b/>
        </w:rPr>
        <w:t>sur les plus-values mobilières</w:t>
      </w:r>
      <w:r w:rsidR="00022E44">
        <w:rPr>
          <w:b/>
        </w:rPr>
        <w:t> :</w:t>
      </w:r>
      <w:r>
        <w:t xml:space="preserve"> suppression de la flat </w:t>
      </w:r>
      <w:proofErr w:type="spellStart"/>
      <w:r>
        <w:t>tax</w:t>
      </w:r>
      <w:proofErr w:type="spellEnd"/>
      <w:r>
        <w:t xml:space="preserve"> et </w:t>
      </w:r>
      <w:r w:rsidR="00EA4C93">
        <w:t>réintroduction</w:t>
      </w:r>
      <w:r>
        <w:t xml:space="preserve"> d’une</w:t>
      </w:r>
      <w:r w:rsidR="00EA4C93">
        <w:t xml:space="preserve"> fiscalité liée à la durée de détention et donc forte et dissuasive pour le très court terme. </w:t>
      </w:r>
      <w:r w:rsidR="004B3A34" w:rsidRPr="00634035">
        <w:rPr>
          <w:i/>
        </w:rPr>
        <w:t xml:space="preserve">A affecter aux </w:t>
      </w:r>
      <w:r w:rsidR="00792548" w:rsidRPr="00634035">
        <w:rPr>
          <w:i/>
        </w:rPr>
        <w:t>collectivités</w:t>
      </w:r>
    </w:p>
    <w:p w14:paraId="11B0387E" w14:textId="7E56A18C" w:rsidR="00D61D92" w:rsidRDefault="00EA4C93" w:rsidP="00144CBB">
      <w:pPr>
        <w:pStyle w:val="Textebrut"/>
      </w:pPr>
      <w:r>
        <w:t xml:space="preserve"> Piste 2 </w:t>
      </w:r>
      <w:r w:rsidR="00022E44">
        <w:t xml:space="preserve"> </w:t>
      </w:r>
      <w:r>
        <w:t xml:space="preserve"> </w:t>
      </w:r>
      <w:r w:rsidRPr="00634035">
        <w:rPr>
          <w:b/>
        </w:rPr>
        <w:t xml:space="preserve">sur les </w:t>
      </w:r>
      <w:r w:rsidR="00792548" w:rsidRPr="00EA4C93">
        <w:rPr>
          <w:b/>
        </w:rPr>
        <w:t>plus-values</w:t>
      </w:r>
      <w:r w:rsidRPr="00634035">
        <w:rPr>
          <w:b/>
        </w:rPr>
        <w:t xml:space="preserve"> </w:t>
      </w:r>
      <w:r w:rsidR="00792548">
        <w:rPr>
          <w:b/>
        </w:rPr>
        <w:t>im</w:t>
      </w:r>
      <w:r w:rsidR="00792548" w:rsidRPr="00EA4C93">
        <w:rPr>
          <w:b/>
        </w:rPr>
        <w:t>mobilières</w:t>
      </w:r>
      <w:r w:rsidR="00022E44">
        <w:rPr>
          <w:b/>
        </w:rPr>
        <w:t> :</w:t>
      </w:r>
      <w:r>
        <w:t xml:space="preserve"> </w:t>
      </w:r>
      <w:r w:rsidR="00D61D92">
        <w:t xml:space="preserve"> la rendre progressive sans effet de seuil et traquer la fraude à la résidence principale. </w:t>
      </w:r>
      <w:r w:rsidR="002E4009" w:rsidRPr="00634035">
        <w:rPr>
          <w:i/>
        </w:rPr>
        <w:t>Voir annexe</w:t>
      </w:r>
    </w:p>
    <w:p w14:paraId="6E67C66A" w14:textId="7EA155DA" w:rsidR="00D61D92" w:rsidRDefault="00D61D92" w:rsidP="00144CBB">
      <w:pPr>
        <w:pStyle w:val="Textebrut"/>
      </w:pPr>
      <w:r>
        <w:t xml:space="preserve">Piste </w:t>
      </w:r>
      <w:r w:rsidR="00792548">
        <w:t>3 augmenter</w:t>
      </w:r>
      <w:r w:rsidRPr="00634035">
        <w:rPr>
          <w:b/>
        </w:rPr>
        <w:t xml:space="preserve"> significativement les taxes sur les logements vacants</w:t>
      </w:r>
      <w:r>
        <w:t>. Les municipalités déplorent le comportements d ‘attente spéculative des propriétaires qui cherchent d’</w:t>
      </w:r>
      <w:r w:rsidR="00022E44">
        <w:t xml:space="preserve">abord </w:t>
      </w:r>
      <w:r>
        <w:t>la plus-value plutôt qu’un revenu de loyer, et font gonfler le parc de l</w:t>
      </w:r>
      <w:r w:rsidR="004B3A34">
        <w:t>ogements</w:t>
      </w:r>
      <w:r>
        <w:t xml:space="preserve"> vacants.  </w:t>
      </w:r>
    </w:p>
    <w:p w14:paraId="3A764A1E" w14:textId="2E5288FF" w:rsidR="00A56905" w:rsidRDefault="002E4009" w:rsidP="00634035">
      <w:pPr>
        <w:pStyle w:val="Textebrut"/>
        <w:rPr>
          <w:color w:val="212121"/>
          <w:sz w:val="24"/>
          <w:szCs w:val="24"/>
        </w:rPr>
      </w:pPr>
      <w:r>
        <w:t xml:space="preserve"> </w:t>
      </w:r>
      <w:r w:rsidR="00D61D92">
        <w:t xml:space="preserve">Piste 4   </w:t>
      </w:r>
      <w:r w:rsidR="00D61D92" w:rsidRPr="00634035">
        <w:rPr>
          <w:b/>
        </w:rPr>
        <w:t>réserver aux collectivités une part d’impôt sur les patrimoines et/ou les successions</w:t>
      </w:r>
      <w:r w:rsidR="00D61D92">
        <w:t xml:space="preserve">.  </w:t>
      </w:r>
      <w:r w:rsidR="002504E9">
        <w:t xml:space="preserve"> 70% de successions actuelles sont exonérées mais </w:t>
      </w:r>
      <w:r w:rsidR="00022E44">
        <w:t xml:space="preserve">les </w:t>
      </w:r>
      <w:r w:rsidR="004B3A34">
        <w:t xml:space="preserve">30% </w:t>
      </w:r>
      <w:r w:rsidR="00022E44">
        <w:t>restant</w:t>
      </w:r>
      <w:r w:rsidR="004B3A34">
        <w:t>s</w:t>
      </w:r>
      <w:r w:rsidR="00022E44">
        <w:t xml:space="preserve"> </w:t>
      </w:r>
      <w:r w:rsidR="002504E9">
        <w:t xml:space="preserve">sont in fine très peu </w:t>
      </w:r>
      <w:r w:rsidR="00792548">
        <w:t>imposées (</w:t>
      </w:r>
      <w:r w:rsidR="002504E9" w:rsidRPr="00634035">
        <w:rPr>
          <w:i/>
        </w:rPr>
        <w:t>niches exonérations diverses et montages financiers pour les plus riches</w:t>
      </w:r>
      <w:r w:rsidR="00792548" w:rsidRPr="002E4009">
        <w:rPr>
          <w:i/>
        </w:rPr>
        <w:t>).</w:t>
      </w:r>
      <w:r w:rsidR="002504E9">
        <w:t xml:space="preserve"> L’enjeu est important pour compenser les concentrations de richesse que génère par nature le capitalisme ; le niveau local évaluation et contrôle </w:t>
      </w:r>
      <w:r w:rsidR="004B3A34">
        <w:t xml:space="preserve">semble très </w:t>
      </w:r>
      <w:r w:rsidR="002504E9">
        <w:t>adapté à une gestion locale</w:t>
      </w:r>
      <w:r>
        <w:t xml:space="preserve"> via </w:t>
      </w:r>
      <w:r w:rsidR="004B3A34">
        <w:t>ce qui reste des missions d’officier ministériel donnée aux notaires</w:t>
      </w:r>
      <w:r w:rsidR="002504E9">
        <w:t xml:space="preserve">. </w:t>
      </w:r>
    </w:p>
    <w:p w14:paraId="55A81058" w14:textId="77777777" w:rsidR="00EE5A3B" w:rsidRDefault="00EE5A3B" w:rsidP="0048792B">
      <w:pPr>
        <w:jc w:val="both"/>
        <w:rPr>
          <w:color w:val="212121"/>
          <w:sz w:val="24"/>
          <w:szCs w:val="24"/>
        </w:rPr>
      </w:pPr>
    </w:p>
    <w:p w14:paraId="23DC8027" w14:textId="0355E2FA" w:rsidR="004B3A34" w:rsidRPr="007B1EBB" w:rsidRDefault="004B3A34" w:rsidP="004B3A34">
      <w:pPr>
        <w:rPr>
          <w:i/>
          <w:color w:val="212121"/>
          <w:sz w:val="24"/>
          <w:szCs w:val="24"/>
        </w:rPr>
      </w:pPr>
      <w:r>
        <w:rPr>
          <w:i/>
          <w:color w:val="212121"/>
          <w:sz w:val="24"/>
          <w:szCs w:val="24"/>
        </w:rPr>
        <w:t>Nicolas PERRIN, Conseiller départemental d</w:t>
      </w:r>
      <w:r w:rsidR="00B94C1E">
        <w:rPr>
          <w:i/>
          <w:color w:val="212121"/>
          <w:sz w:val="24"/>
          <w:szCs w:val="24"/>
        </w:rPr>
        <w:t>’Ille et Vilaine,</w:t>
      </w:r>
      <w:r>
        <w:rPr>
          <w:i/>
          <w:color w:val="212121"/>
          <w:sz w:val="24"/>
          <w:szCs w:val="24"/>
        </w:rPr>
        <w:t xml:space="preserve"> Rennes 3 </w:t>
      </w:r>
    </w:p>
    <w:p w14:paraId="2D94E090" w14:textId="77777777" w:rsidR="00593990" w:rsidRDefault="00593990" w:rsidP="0048792B">
      <w:pPr>
        <w:jc w:val="both"/>
        <w:rPr>
          <w:color w:val="212121"/>
          <w:sz w:val="24"/>
          <w:szCs w:val="24"/>
        </w:rPr>
      </w:pPr>
    </w:p>
    <w:p w14:paraId="4377C72F" w14:textId="41F774D8" w:rsidR="006E0FEC" w:rsidRDefault="006E0FEC" w:rsidP="0048792B">
      <w:pPr>
        <w:jc w:val="both"/>
        <w:rPr>
          <w:color w:val="212121"/>
          <w:sz w:val="24"/>
          <w:szCs w:val="24"/>
        </w:rPr>
      </w:pPr>
    </w:p>
    <w:p w14:paraId="69305941" w14:textId="683A4D55" w:rsidR="00640722" w:rsidRDefault="004B3A34" w:rsidP="006E0FEC">
      <w:pPr>
        <w:jc w:val="both"/>
        <w:rPr>
          <w:color w:val="212121"/>
          <w:sz w:val="24"/>
          <w:szCs w:val="24"/>
        </w:rPr>
      </w:pPr>
      <w:r>
        <w:rPr>
          <w:color w:val="212121"/>
          <w:sz w:val="24"/>
          <w:szCs w:val="24"/>
        </w:rPr>
        <w:t xml:space="preserve">Annexes explicatives </w:t>
      </w:r>
    </w:p>
    <w:p w14:paraId="0E014F7B" w14:textId="1022A9EF" w:rsidR="001C45AB" w:rsidRPr="00634035" w:rsidRDefault="00792548" w:rsidP="001C45AB">
      <w:pPr>
        <w:rPr>
          <w:i/>
          <w:color w:val="00B050"/>
          <w:sz w:val="18"/>
          <w:szCs w:val="18"/>
        </w:rPr>
      </w:pPr>
      <w:r w:rsidRPr="002504E9">
        <w:rPr>
          <w:b/>
          <w:color w:val="00B050"/>
          <w:sz w:val="18"/>
          <w:szCs w:val="18"/>
        </w:rPr>
        <w:t>Piste 1</w:t>
      </w:r>
      <w:r w:rsidR="001C45AB" w:rsidRPr="00634035">
        <w:rPr>
          <w:i/>
          <w:color w:val="00B050"/>
        </w:rPr>
        <w:t xml:space="preserve"> </w:t>
      </w:r>
      <w:r w:rsidRPr="004B3A34">
        <w:rPr>
          <w:b/>
          <w:i/>
          <w:color w:val="00B050"/>
          <w:sz w:val="18"/>
          <w:szCs w:val="18"/>
        </w:rPr>
        <w:t>plus-value</w:t>
      </w:r>
      <w:r w:rsidR="004B3A34" w:rsidRPr="00634035">
        <w:rPr>
          <w:b/>
          <w:i/>
          <w:color w:val="00B050"/>
          <w:sz w:val="18"/>
          <w:szCs w:val="18"/>
        </w:rPr>
        <w:t xml:space="preserve"> </w:t>
      </w:r>
      <w:r w:rsidRPr="004B3A34">
        <w:rPr>
          <w:b/>
          <w:i/>
          <w:color w:val="00B050"/>
          <w:sz w:val="18"/>
          <w:szCs w:val="18"/>
        </w:rPr>
        <w:t>mobilière</w:t>
      </w:r>
      <w:r w:rsidR="004B3A34">
        <w:rPr>
          <w:i/>
          <w:color w:val="00B050"/>
        </w:rPr>
        <w:t xml:space="preserve">. </w:t>
      </w:r>
      <w:r w:rsidR="001C45AB" w:rsidRPr="00634035">
        <w:rPr>
          <w:i/>
          <w:color w:val="00B050"/>
          <w:sz w:val="18"/>
          <w:szCs w:val="18"/>
        </w:rPr>
        <w:t xml:space="preserve">Cette flat </w:t>
      </w:r>
      <w:r w:rsidRPr="001C45AB">
        <w:rPr>
          <w:i/>
          <w:color w:val="00B050"/>
          <w:sz w:val="18"/>
          <w:szCs w:val="18"/>
        </w:rPr>
        <w:t>tax</w:t>
      </w:r>
      <w:r w:rsidR="001C45AB" w:rsidRPr="00634035">
        <w:rPr>
          <w:i/>
          <w:color w:val="00B050"/>
          <w:sz w:val="18"/>
          <w:szCs w:val="18"/>
        </w:rPr>
        <w:t xml:space="preserve"> est particulièrement injuste car elle plafonne les impositions des plus-value à 30% alors que celles-ci constituent l’essentiel des revenus des plus riches. Le mécanisme est même doublement injuste, car il traite de la même façon le spéculateur qui fait des plus-values à court terme (moins d’un mois ou quelques jours) et le patron de PME qui vend ses parts au bout de 30 ans d’activité. Les abattements existent certes mais ils sont identiques à 8 ans ou 30 ans et surtout beaucoup trop élevés car 2ans l’abattement est de 50% dès la deuxième année ce qui enlève toute progressivité. </w:t>
      </w:r>
    </w:p>
    <w:p w14:paraId="7EDD13E6" w14:textId="24A5B54C" w:rsidR="00806450" w:rsidRDefault="001C45AB" w:rsidP="001C45AB">
      <w:pPr>
        <w:jc w:val="both"/>
        <w:rPr>
          <w:i/>
          <w:color w:val="00B050"/>
          <w:sz w:val="18"/>
          <w:szCs w:val="18"/>
        </w:rPr>
      </w:pPr>
      <w:r w:rsidRPr="00634035">
        <w:rPr>
          <w:i/>
          <w:color w:val="00B050"/>
          <w:sz w:val="18"/>
          <w:szCs w:val="18"/>
        </w:rPr>
        <w:t xml:space="preserve">Une progressivité des abattements ou une dégressivité des taux permettrait de décourager le spéculateur de court terme et de donner du sens à cet impôt (comme dans la plus-value immobilière). </w:t>
      </w:r>
    </w:p>
    <w:p w14:paraId="494F718E" w14:textId="07C42F67" w:rsidR="00EA4C93" w:rsidRDefault="00EA4C93" w:rsidP="001C45AB">
      <w:pPr>
        <w:jc w:val="both"/>
        <w:rPr>
          <w:i/>
          <w:color w:val="00B050"/>
          <w:sz w:val="18"/>
          <w:szCs w:val="18"/>
        </w:rPr>
      </w:pPr>
    </w:p>
    <w:p w14:paraId="6BD22F92" w14:textId="61A3F4A3" w:rsidR="00EA4C93" w:rsidRPr="00634035" w:rsidRDefault="00EA4C93" w:rsidP="00EA4C93">
      <w:pPr>
        <w:rPr>
          <w:color w:val="00B050"/>
          <w:sz w:val="18"/>
          <w:szCs w:val="18"/>
        </w:rPr>
      </w:pPr>
      <w:r w:rsidRPr="00634035">
        <w:rPr>
          <w:b/>
          <w:color w:val="00B050"/>
          <w:sz w:val="18"/>
          <w:szCs w:val="18"/>
        </w:rPr>
        <w:t xml:space="preserve">Piste </w:t>
      </w:r>
      <w:r w:rsidR="00792548" w:rsidRPr="002504E9">
        <w:rPr>
          <w:b/>
          <w:color w:val="00B050"/>
          <w:sz w:val="18"/>
          <w:szCs w:val="18"/>
        </w:rPr>
        <w:t xml:space="preserve">2 </w:t>
      </w:r>
      <w:r w:rsidR="00792548">
        <w:rPr>
          <w:b/>
          <w:color w:val="00B050"/>
          <w:sz w:val="18"/>
          <w:szCs w:val="18"/>
        </w:rPr>
        <w:t>La t</w:t>
      </w:r>
      <w:r w:rsidRPr="00634035">
        <w:rPr>
          <w:b/>
          <w:color w:val="00B050"/>
          <w:sz w:val="18"/>
          <w:szCs w:val="18"/>
        </w:rPr>
        <w:t>axe sur la Plus-value immobilière</w:t>
      </w:r>
      <w:r w:rsidRPr="00634035">
        <w:rPr>
          <w:color w:val="00B050"/>
          <w:sz w:val="18"/>
          <w:szCs w:val="18"/>
          <w:u w:val="single"/>
        </w:rPr>
        <w:t xml:space="preserve"> </w:t>
      </w:r>
      <w:r w:rsidRPr="00634035">
        <w:rPr>
          <w:color w:val="00B050"/>
          <w:sz w:val="18"/>
          <w:szCs w:val="18"/>
        </w:rPr>
        <w:t xml:space="preserve">est nulle pour la résidence principale, et variable selon la durée de détention pour les autres.  Le taux est de 19% pour l’IR et de 17,2% pour la CSG.  Il y a un abattement de 6% par an à partir de la 6eme année et de 4% ensuite pour IR, la dégressivité est plus faible pour la CSG ; au final, une exonération totale après 22 ans de </w:t>
      </w:r>
      <w:r w:rsidRPr="00634035">
        <w:rPr>
          <w:color w:val="00B050"/>
          <w:sz w:val="18"/>
          <w:szCs w:val="18"/>
        </w:rPr>
        <w:lastRenderedPageBreak/>
        <w:t>détention pour IR et 30 ans pour CSG (</w:t>
      </w:r>
      <w:r w:rsidRPr="00634035">
        <w:rPr>
          <w:i/>
          <w:color w:val="00B050"/>
          <w:sz w:val="18"/>
          <w:szCs w:val="18"/>
        </w:rPr>
        <w:t>Source notaires.Fr.)</w:t>
      </w:r>
      <w:r w:rsidRPr="00634035">
        <w:rPr>
          <w:color w:val="00B050"/>
          <w:sz w:val="18"/>
          <w:szCs w:val="18"/>
        </w:rPr>
        <w:t xml:space="preserve"> Remarque : le taux n’est pas lié au montant de la plus-value ni aux autres revenus. Il s’agit donc </w:t>
      </w:r>
      <w:r w:rsidRPr="00634035">
        <w:rPr>
          <w:b/>
          <w:color w:val="00B050"/>
          <w:sz w:val="18"/>
          <w:szCs w:val="18"/>
        </w:rPr>
        <w:t>d’une flat tax.</w:t>
      </w:r>
    </w:p>
    <w:p w14:paraId="7977EA1F" w14:textId="7E514777" w:rsidR="00EA4C93" w:rsidRPr="00634035" w:rsidRDefault="00EA4C93" w:rsidP="00EA4C93">
      <w:pPr>
        <w:rPr>
          <w:i/>
          <w:color w:val="00B050"/>
          <w:sz w:val="18"/>
          <w:szCs w:val="18"/>
        </w:rPr>
      </w:pPr>
      <w:r w:rsidRPr="00634035">
        <w:rPr>
          <w:color w:val="00B050"/>
          <w:sz w:val="18"/>
          <w:szCs w:val="18"/>
        </w:rPr>
        <w:t xml:space="preserve"> </w:t>
      </w:r>
      <w:r w:rsidRPr="00634035">
        <w:rPr>
          <w:i/>
          <w:color w:val="00B050"/>
          <w:sz w:val="18"/>
          <w:szCs w:val="18"/>
        </w:rPr>
        <w:t xml:space="preserve">La progressivité de cet impôt en </w:t>
      </w:r>
      <w:r w:rsidRPr="00634035">
        <w:rPr>
          <w:i/>
          <w:color w:val="00B050"/>
          <w:sz w:val="18"/>
          <w:szCs w:val="18"/>
          <w:u w:val="single"/>
        </w:rPr>
        <w:t>fonction de la durée de détention</w:t>
      </w:r>
      <w:r w:rsidRPr="00634035">
        <w:rPr>
          <w:i/>
          <w:color w:val="00B050"/>
          <w:sz w:val="18"/>
          <w:szCs w:val="18"/>
        </w:rPr>
        <w:t xml:space="preserve"> </w:t>
      </w:r>
      <w:r w:rsidR="00792548">
        <w:rPr>
          <w:i/>
          <w:color w:val="00B050"/>
          <w:sz w:val="18"/>
          <w:szCs w:val="18"/>
        </w:rPr>
        <w:t>existe bien à partir de la 6</w:t>
      </w:r>
      <w:r w:rsidRPr="00634035">
        <w:rPr>
          <w:i/>
          <w:color w:val="00B050"/>
          <w:sz w:val="18"/>
          <w:szCs w:val="18"/>
        </w:rPr>
        <w:t>ème année, ce qui a pour effet d’alléger les plus-values LT (avec une progressivité plutôt correcte de 6 à 30 ans) par rapport aux plus-values de moins de 6</w:t>
      </w:r>
      <w:r>
        <w:rPr>
          <w:i/>
          <w:color w:val="00B050"/>
          <w:sz w:val="18"/>
          <w:szCs w:val="18"/>
        </w:rPr>
        <w:t xml:space="preserve"> </w:t>
      </w:r>
      <w:r w:rsidRPr="00634035">
        <w:rPr>
          <w:i/>
          <w:color w:val="00B050"/>
          <w:sz w:val="18"/>
          <w:szCs w:val="18"/>
        </w:rPr>
        <w:t>ans bloquées</w:t>
      </w:r>
      <w:r w:rsidRPr="00634035">
        <w:rPr>
          <w:b/>
          <w:i/>
          <w:color w:val="00B050"/>
          <w:sz w:val="18"/>
          <w:szCs w:val="18"/>
        </w:rPr>
        <w:t xml:space="preserve"> à 36,2%.</w:t>
      </w:r>
      <w:r w:rsidRPr="00634035">
        <w:rPr>
          <w:i/>
          <w:color w:val="00B050"/>
          <w:sz w:val="18"/>
          <w:szCs w:val="18"/>
        </w:rPr>
        <w:t xml:space="preserve"> Cette imposition dégressive est plutôt bien comprise et admise. Toutefois </w:t>
      </w:r>
      <w:r w:rsidRPr="00634035">
        <w:rPr>
          <w:b/>
          <w:i/>
          <w:color w:val="00B050"/>
          <w:sz w:val="18"/>
          <w:szCs w:val="18"/>
        </w:rPr>
        <w:t>la progressivité pourrait être renforcée sur la période de 1 à 6 ans,</w:t>
      </w:r>
      <w:r w:rsidRPr="00634035">
        <w:rPr>
          <w:i/>
          <w:color w:val="00B050"/>
          <w:sz w:val="18"/>
          <w:szCs w:val="18"/>
        </w:rPr>
        <w:t xml:space="preserve"> pour limiter l’action néfaste de ceux qui font des allers retours   spéculatifs permanents à court et moyen terme.</w:t>
      </w:r>
    </w:p>
    <w:p w14:paraId="085DB1A8" w14:textId="6BA9A6A9" w:rsidR="00EA4C93" w:rsidRPr="00634035" w:rsidRDefault="00EA4C93" w:rsidP="00EA4C93">
      <w:pPr>
        <w:rPr>
          <w:b/>
          <w:i/>
          <w:color w:val="00B050"/>
          <w:sz w:val="18"/>
          <w:szCs w:val="18"/>
        </w:rPr>
      </w:pPr>
      <w:r w:rsidRPr="00634035">
        <w:rPr>
          <w:b/>
          <w:i/>
          <w:color w:val="00B050"/>
          <w:sz w:val="18"/>
          <w:szCs w:val="18"/>
        </w:rPr>
        <w:t xml:space="preserve"> L’exonération de la résidence principale</w:t>
      </w:r>
      <w:r>
        <w:rPr>
          <w:b/>
          <w:i/>
          <w:color w:val="00B050"/>
          <w:sz w:val="18"/>
          <w:szCs w:val="18"/>
        </w:rPr>
        <w:t xml:space="preserve"> est sujet à des pratiques frauduleuses courantes qui</w:t>
      </w:r>
      <w:r w:rsidRPr="00634035">
        <w:rPr>
          <w:b/>
          <w:i/>
          <w:color w:val="00B050"/>
          <w:sz w:val="18"/>
          <w:szCs w:val="18"/>
        </w:rPr>
        <w:t> </w:t>
      </w:r>
      <w:r>
        <w:rPr>
          <w:b/>
          <w:i/>
          <w:color w:val="00B050"/>
          <w:sz w:val="18"/>
          <w:szCs w:val="18"/>
        </w:rPr>
        <w:t>consistent à modifier sa résidence princip</w:t>
      </w:r>
      <w:r w:rsidR="00D61D92">
        <w:rPr>
          <w:b/>
          <w:i/>
          <w:color w:val="00B050"/>
          <w:sz w:val="18"/>
          <w:szCs w:val="18"/>
        </w:rPr>
        <w:t xml:space="preserve">ale </w:t>
      </w:r>
      <w:r>
        <w:rPr>
          <w:b/>
          <w:i/>
          <w:color w:val="00B050"/>
          <w:sz w:val="18"/>
          <w:szCs w:val="18"/>
        </w:rPr>
        <w:t xml:space="preserve">à chaque opération </w:t>
      </w:r>
      <w:r w:rsidR="00792548">
        <w:rPr>
          <w:b/>
          <w:i/>
          <w:color w:val="00B050"/>
          <w:sz w:val="18"/>
          <w:szCs w:val="18"/>
        </w:rPr>
        <w:t>immobilière ;</w:t>
      </w:r>
      <w:r w:rsidRPr="00634035">
        <w:rPr>
          <w:b/>
          <w:i/>
          <w:color w:val="00B050"/>
          <w:sz w:val="18"/>
          <w:szCs w:val="18"/>
        </w:rPr>
        <w:t xml:space="preserve"> le </w:t>
      </w:r>
      <w:r w:rsidR="00792548" w:rsidRPr="00EA4C93">
        <w:rPr>
          <w:b/>
          <w:i/>
          <w:color w:val="00B050"/>
          <w:sz w:val="18"/>
          <w:szCs w:val="18"/>
        </w:rPr>
        <w:t>fisc tolère</w:t>
      </w:r>
      <w:r w:rsidRPr="00634035">
        <w:rPr>
          <w:b/>
          <w:i/>
          <w:color w:val="00B050"/>
          <w:sz w:val="18"/>
          <w:szCs w:val="18"/>
        </w:rPr>
        <w:t xml:space="preserve"> </w:t>
      </w:r>
      <w:r>
        <w:rPr>
          <w:b/>
          <w:i/>
          <w:color w:val="00B050"/>
          <w:sz w:val="18"/>
          <w:szCs w:val="18"/>
        </w:rPr>
        <w:t xml:space="preserve">malheureusement </w:t>
      </w:r>
      <w:r w:rsidRPr="00634035">
        <w:rPr>
          <w:b/>
          <w:i/>
          <w:color w:val="00B050"/>
          <w:sz w:val="18"/>
          <w:szCs w:val="18"/>
        </w:rPr>
        <w:t xml:space="preserve">ces </w:t>
      </w:r>
      <w:r w:rsidR="00792548">
        <w:rPr>
          <w:b/>
          <w:i/>
          <w:color w:val="00B050"/>
          <w:sz w:val="18"/>
          <w:szCs w:val="18"/>
        </w:rPr>
        <w:t xml:space="preserve">pratiques </w:t>
      </w:r>
      <w:r w:rsidR="00792548" w:rsidRPr="00EA4C93">
        <w:rPr>
          <w:b/>
          <w:i/>
          <w:color w:val="00B050"/>
          <w:sz w:val="18"/>
          <w:szCs w:val="18"/>
        </w:rPr>
        <w:t>qui masquent</w:t>
      </w:r>
      <w:r w:rsidR="00792548">
        <w:rPr>
          <w:b/>
          <w:i/>
          <w:color w:val="00B050"/>
          <w:sz w:val="18"/>
          <w:szCs w:val="18"/>
        </w:rPr>
        <w:t xml:space="preserve"> des</w:t>
      </w:r>
      <w:r w:rsidRPr="00634035">
        <w:rPr>
          <w:b/>
          <w:i/>
          <w:color w:val="00B050"/>
          <w:sz w:val="18"/>
          <w:szCs w:val="18"/>
        </w:rPr>
        <w:t xml:space="preserve"> </w:t>
      </w:r>
      <w:r w:rsidR="00792548">
        <w:rPr>
          <w:b/>
          <w:i/>
          <w:color w:val="00B050"/>
          <w:sz w:val="18"/>
          <w:szCs w:val="18"/>
        </w:rPr>
        <w:t xml:space="preserve">activités de </w:t>
      </w:r>
      <w:r w:rsidRPr="00634035">
        <w:rPr>
          <w:b/>
          <w:i/>
          <w:color w:val="00B050"/>
          <w:sz w:val="18"/>
          <w:szCs w:val="18"/>
        </w:rPr>
        <w:t>marchands de bien </w:t>
      </w:r>
      <w:r w:rsidR="00D61D92">
        <w:rPr>
          <w:b/>
          <w:i/>
          <w:color w:val="00B050"/>
          <w:sz w:val="18"/>
          <w:szCs w:val="18"/>
        </w:rPr>
        <w:t>derrière</w:t>
      </w:r>
      <w:r>
        <w:rPr>
          <w:b/>
          <w:i/>
          <w:color w:val="00B050"/>
          <w:sz w:val="18"/>
          <w:szCs w:val="18"/>
        </w:rPr>
        <w:t xml:space="preserve"> </w:t>
      </w:r>
      <w:r w:rsidR="00D61D92">
        <w:rPr>
          <w:b/>
          <w:i/>
          <w:color w:val="00B050"/>
          <w:sz w:val="18"/>
          <w:szCs w:val="18"/>
        </w:rPr>
        <w:t xml:space="preserve">des </w:t>
      </w:r>
      <w:r>
        <w:rPr>
          <w:b/>
          <w:i/>
          <w:color w:val="00B050"/>
          <w:sz w:val="18"/>
          <w:szCs w:val="18"/>
        </w:rPr>
        <w:t>opération</w:t>
      </w:r>
      <w:r w:rsidR="00D61D92">
        <w:rPr>
          <w:b/>
          <w:i/>
          <w:color w:val="00B050"/>
          <w:sz w:val="18"/>
          <w:szCs w:val="18"/>
        </w:rPr>
        <w:t>s</w:t>
      </w:r>
      <w:r>
        <w:rPr>
          <w:b/>
          <w:i/>
          <w:color w:val="00B050"/>
          <w:sz w:val="18"/>
          <w:szCs w:val="18"/>
        </w:rPr>
        <w:t xml:space="preserve"> </w:t>
      </w:r>
      <w:r w:rsidR="00D61D92">
        <w:rPr>
          <w:b/>
          <w:i/>
          <w:color w:val="00B050"/>
          <w:sz w:val="18"/>
          <w:szCs w:val="18"/>
        </w:rPr>
        <w:t xml:space="preserve">de particulier </w:t>
      </w:r>
      <w:r w:rsidRPr="00634035">
        <w:rPr>
          <w:b/>
          <w:i/>
          <w:color w:val="00B050"/>
          <w:sz w:val="18"/>
          <w:szCs w:val="18"/>
        </w:rPr>
        <w:t xml:space="preserve">; l’idée serait de limiter l’exonération qu’aux </w:t>
      </w:r>
      <w:r w:rsidR="00792548" w:rsidRPr="00EA4C93">
        <w:rPr>
          <w:b/>
          <w:i/>
          <w:color w:val="00B050"/>
          <w:sz w:val="18"/>
          <w:szCs w:val="18"/>
        </w:rPr>
        <w:t>occupations principales supérieures</w:t>
      </w:r>
      <w:r w:rsidRPr="00634035">
        <w:rPr>
          <w:b/>
          <w:i/>
          <w:color w:val="00B050"/>
          <w:sz w:val="18"/>
          <w:szCs w:val="18"/>
        </w:rPr>
        <w:t xml:space="preserve"> à 5 ans.  (</w:t>
      </w:r>
      <w:r w:rsidR="00792548" w:rsidRPr="00EA4C93">
        <w:rPr>
          <w:b/>
          <w:i/>
          <w:color w:val="00B050"/>
          <w:sz w:val="18"/>
          <w:szCs w:val="18"/>
        </w:rPr>
        <w:t>Hors</w:t>
      </w:r>
      <w:r w:rsidRPr="00634035">
        <w:rPr>
          <w:b/>
          <w:i/>
          <w:color w:val="00B050"/>
          <w:sz w:val="18"/>
          <w:szCs w:val="18"/>
        </w:rPr>
        <w:t xml:space="preserve"> </w:t>
      </w:r>
      <w:r w:rsidR="00792548" w:rsidRPr="00EA4C93">
        <w:rPr>
          <w:b/>
          <w:i/>
          <w:color w:val="00B050"/>
          <w:sz w:val="18"/>
          <w:szCs w:val="18"/>
        </w:rPr>
        <w:t>cas particulier</w:t>
      </w:r>
      <w:r w:rsidRPr="00634035">
        <w:rPr>
          <w:b/>
          <w:i/>
          <w:color w:val="00B050"/>
          <w:sz w:val="18"/>
          <w:szCs w:val="18"/>
        </w:rPr>
        <w:t xml:space="preserve"> de mutations)</w:t>
      </w:r>
    </w:p>
    <w:p w14:paraId="0C5B3B97" w14:textId="63D7E0A6" w:rsidR="00EA4C93" w:rsidRPr="00634035" w:rsidRDefault="00EA4C93" w:rsidP="001C45AB">
      <w:pPr>
        <w:jc w:val="both"/>
        <w:rPr>
          <w:color w:val="00B050"/>
          <w:sz w:val="18"/>
          <w:szCs w:val="18"/>
        </w:rPr>
      </w:pPr>
    </w:p>
    <w:p w14:paraId="6BF865EB" w14:textId="552692C7" w:rsidR="00D61D92" w:rsidRPr="00634035" w:rsidRDefault="00D61D92" w:rsidP="00D61D92">
      <w:pPr>
        <w:rPr>
          <w:color w:val="00B050"/>
          <w:sz w:val="18"/>
          <w:szCs w:val="18"/>
        </w:rPr>
      </w:pPr>
      <w:r w:rsidRPr="00634035">
        <w:rPr>
          <w:b/>
          <w:color w:val="00B050"/>
          <w:sz w:val="18"/>
          <w:szCs w:val="18"/>
          <w:u w:val="single"/>
        </w:rPr>
        <w:t xml:space="preserve">Piste </w:t>
      </w:r>
      <w:r w:rsidR="00792548">
        <w:rPr>
          <w:b/>
          <w:color w:val="00B050"/>
          <w:sz w:val="18"/>
          <w:szCs w:val="18"/>
          <w:u w:val="single"/>
        </w:rPr>
        <w:t xml:space="preserve">3 </w:t>
      </w:r>
      <w:r w:rsidR="00792548" w:rsidRPr="00D61D92">
        <w:rPr>
          <w:b/>
          <w:color w:val="00B050"/>
          <w:sz w:val="18"/>
          <w:szCs w:val="18"/>
          <w:u w:val="single"/>
        </w:rPr>
        <w:t>les</w:t>
      </w:r>
      <w:r w:rsidRPr="00634035">
        <w:rPr>
          <w:b/>
          <w:color w:val="00B050"/>
          <w:sz w:val="18"/>
          <w:szCs w:val="18"/>
          <w:u w:val="single"/>
        </w:rPr>
        <w:t xml:space="preserve"> </w:t>
      </w:r>
      <w:r w:rsidR="002504E9">
        <w:rPr>
          <w:b/>
          <w:color w:val="00B050"/>
          <w:sz w:val="18"/>
          <w:szCs w:val="18"/>
          <w:u w:val="single"/>
        </w:rPr>
        <w:t>p</w:t>
      </w:r>
      <w:r w:rsidRPr="00634035">
        <w:rPr>
          <w:b/>
          <w:color w:val="00B050"/>
          <w:sz w:val="18"/>
          <w:szCs w:val="18"/>
          <w:u w:val="single"/>
        </w:rPr>
        <w:t>lus-values des sociétés</w:t>
      </w:r>
      <w:r w:rsidRPr="00634035">
        <w:rPr>
          <w:color w:val="00B050"/>
          <w:sz w:val="18"/>
          <w:szCs w:val="18"/>
        </w:rPr>
        <w:t xml:space="preserve"> (industrielles artisanales ou SCI immobilière soumises à l’IS)</w:t>
      </w:r>
    </w:p>
    <w:p w14:paraId="0428FD2E" w14:textId="2EB2AE08" w:rsidR="004B3A34" w:rsidRDefault="00D61D92" w:rsidP="004B3A34">
      <w:pPr>
        <w:jc w:val="both"/>
        <w:rPr>
          <w:i/>
          <w:color w:val="00B050"/>
          <w:sz w:val="18"/>
          <w:szCs w:val="18"/>
        </w:rPr>
      </w:pPr>
      <w:r w:rsidRPr="00634035">
        <w:rPr>
          <w:color w:val="00B050"/>
          <w:sz w:val="18"/>
          <w:szCs w:val="18"/>
        </w:rPr>
        <w:t xml:space="preserve">Les plus-values dites CT (ici moins de 2 ans) sont imposés dans le cadre général de l’impôt société (IS) à 15% sur 35 K€, puis </w:t>
      </w:r>
      <w:r w:rsidRPr="00634035">
        <w:rPr>
          <w:b/>
          <w:color w:val="00B050"/>
          <w:sz w:val="18"/>
          <w:szCs w:val="18"/>
          <w:u w:val="single"/>
        </w:rPr>
        <w:t xml:space="preserve">25 </w:t>
      </w:r>
      <w:r w:rsidR="00792548" w:rsidRPr="00D61D92">
        <w:rPr>
          <w:b/>
          <w:color w:val="00B050"/>
          <w:sz w:val="18"/>
          <w:szCs w:val="18"/>
          <w:u w:val="single"/>
        </w:rPr>
        <w:t>% et</w:t>
      </w:r>
      <w:r w:rsidR="00792548">
        <w:rPr>
          <w:b/>
          <w:color w:val="00B050"/>
          <w:sz w:val="18"/>
          <w:szCs w:val="18"/>
          <w:u w:val="single"/>
        </w:rPr>
        <w:t xml:space="preserve"> </w:t>
      </w:r>
      <w:r w:rsidR="00792548" w:rsidRPr="00D61D92">
        <w:rPr>
          <w:b/>
          <w:color w:val="00B050"/>
          <w:sz w:val="18"/>
          <w:szCs w:val="18"/>
          <w:u w:val="single"/>
        </w:rPr>
        <w:t>28</w:t>
      </w:r>
      <w:r w:rsidRPr="00634035">
        <w:rPr>
          <w:color w:val="00B050"/>
          <w:sz w:val="18"/>
          <w:szCs w:val="18"/>
          <w:u w:val="single"/>
        </w:rPr>
        <w:t>%</w:t>
      </w:r>
      <w:r w:rsidRPr="00634035">
        <w:rPr>
          <w:color w:val="00B050"/>
          <w:sz w:val="18"/>
          <w:szCs w:val="18"/>
        </w:rPr>
        <w:t xml:space="preserve"> </w:t>
      </w:r>
      <w:r w:rsidR="004B3A34">
        <w:rPr>
          <w:color w:val="00B050"/>
          <w:sz w:val="18"/>
          <w:szCs w:val="18"/>
        </w:rPr>
        <w:t>en 2022</w:t>
      </w:r>
      <w:r w:rsidRPr="00634035">
        <w:rPr>
          <w:color w:val="00B050"/>
          <w:sz w:val="18"/>
          <w:szCs w:val="18"/>
        </w:rPr>
        <w:t xml:space="preserve"> (plus de 500 K€ de bénéfice imposable). Les plus-values de + de 2ans sont imposées dans le même cadre </w:t>
      </w:r>
      <w:r w:rsidRPr="00634035">
        <w:rPr>
          <w:b/>
          <w:color w:val="00B050"/>
          <w:sz w:val="18"/>
          <w:szCs w:val="18"/>
        </w:rPr>
        <w:t>sauf pour leurs actifs en titres de participation</w:t>
      </w:r>
      <w:r w:rsidRPr="00634035">
        <w:rPr>
          <w:color w:val="00B050"/>
          <w:sz w:val="18"/>
          <w:szCs w:val="18"/>
        </w:rPr>
        <w:t xml:space="preserve"> qui ne sont imposés qu’à 12%, (19% pour les sociétés à prédominance immobilière). </w:t>
      </w:r>
      <w:r w:rsidR="004B3A34" w:rsidRPr="00B47345">
        <w:rPr>
          <w:i/>
          <w:color w:val="00B050"/>
          <w:sz w:val="18"/>
          <w:szCs w:val="18"/>
        </w:rPr>
        <w:t xml:space="preserve">L’enjeu est aussi très important pour la régulation des anticipations économiques.  Il s’agit </w:t>
      </w:r>
      <w:r w:rsidR="004B3A34" w:rsidRPr="00B47345">
        <w:rPr>
          <w:b/>
          <w:i/>
          <w:color w:val="00B050"/>
          <w:sz w:val="18"/>
          <w:szCs w:val="18"/>
        </w:rPr>
        <w:t xml:space="preserve">d’alléger l’impôt sur les détentions longues et de le rendre confiscatoire sur le très court terme ; </w:t>
      </w:r>
      <w:r w:rsidR="004B3A34" w:rsidRPr="00B47345">
        <w:rPr>
          <w:i/>
          <w:color w:val="00B050"/>
          <w:sz w:val="18"/>
          <w:szCs w:val="18"/>
        </w:rPr>
        <w:t>on peut imaginer des taxations dissuasives à 75 % sur le mois, mais avec une dégressivité permettant d’arriver à zéro imposition en 30 ans. (Nota 30 ans, c’est un taux d’actualisation moyen de moins de 2%). A noter qu’en dehors du signal politique marquant d’une telle réforme, le rendement de cet impôt ne serait pas négligeable avant que les comportements des citoyens ne soient effectivement modifiés dans un vison économique de long terme.</w:t>
      </w:r>
    </w:p>
    <w:p w14:paraId="336AD6D1" w14:textId="6A9FB40E" w:rsidR="00D61D92" w:rsidRDefault="00D61D92" w:rsidP="00D61D92">
      <w:pPr>
        <w:rPr>
          <w:color w:val="00B050"/>
          <w:sz w:val="18"/>
          <w:szCs w:val="18"/>
        </w:rPr>
      </w:pPr>
    </w:p>
    <w:p w14:paraId="5AAB2DB4" w14:textId="77777777" w:rsidR="004B3A34" w:rsidRPr="00634035" w:rsidRDefault="004B3A34" w:rsidP="00D61D92">
      <w:pPr>
        <w:rPr>
          <w:color w:val="00B050"/>
          <w:sz w:val="18"/>
          <w:szCs w:val="18"/>
        </w:rPr>
      </w:pPr>
    </w:p>
    <w:p w14:paraId="795964B7" w14:textId="77777777" w:rsidR="004B3A34" w:rsidRPr="00634035" w:rsidRDefault="004B3A34" w:rsidP="00D61D92">
      <w:pPr>
        <w:rPr>
          <w:i/>
          <w:color w:val="00B050"/>
          <w:sz w:val="18"/>
          <w:szCs w:val="18"/>
        </w:rPr>
      </w:pPr>
    </w:p>
    <w:p w14:paraId="41063232" w14:textId="0B672B35" w:rsidR="00D61D92" w:rsidRDefault="002504E9" w:rsidP="00D61D92">
      <w:pPr>
        <w:rPr>
          <w:i/>
          <w:color w:val="00B050"/>
          <w:sz w:val="18"/>
          <w:szCs w:val="18"/>
        </w:rPr>
      </w:pPr>
      <w:r w:rsidRPr="00634035">
        <w:rPr>
          <w:b/>
          <w:i/>
          <w:color w:val="00B050"/>
          <w:sz w:val="18"/>
          <w:szCs w:val="18"/>
        </w:rPr>
        <w:t xml:space="preserve">Piste </w:t>
      </w:r>
      <w:r w:rsidR="00792548">
        <w:rPr>
          <w:b/>
          <w:i/>
          <w:color w:val="00B050"/>
          <w:sz w:val="18"/>
          <w:szCs w:val="18"/>
        </w:rPr>
        <w:t xml:space="preserve">4 </w:t>
      </w:r>
      <w:r w:rsidR="00792548" w:rsidRPr="002504E9">
        <w:rPr>
          <w:b/>
          <w:i/>
          <w:color w:val="00B050"/>
          <w:sz w:val="18"/>
          <w:szCs w:val="18"/>
        </w:rPr>
        <w:t>La</w:t>
      </w:r>
      <w:r w:rsidR="00D61D92" w:rsidRPr="00634035">
        <w:rPr>
          <w:b/>
          <w:i/>
          <w:color w:val="00B050"/>
          <w:sz w:val="18"/>
          <w:szCs w:val="18"/>
        </w:rPr>
        <w:t xml:space="preserve"> recherche de mécanismes de régulations de l’accumulation</w:t>
      </w:r>
      <w:r w:rsidR="00D61D92" w:rsidRPr="00634035">
        <w:rPr>
          <w:i/>
          <w:color w:val="00B050"/>
          <w:sz w:val="18"/>
          <w:szCs w:val="18"/>
        </w:rPr>
        <w:t xml:space="preserve"> privée est plus complexe </w:t>
      </w:r>
      <w:r>
        <w:rPr>
          <w:i/>
          <w:color w:val="00B050"/>
          <w:sz w:val="18"/>
          <w:szCs w:val="18"/>
        </w:rPr>
        <w:t xml:space="preserve">mais peut parfaitement s’intégrer dans une fiscalité </w:t>
      </w:r>
      <w:r w:rsidR="00792548">
        <w:rPr>
          <w:i/>
          <w:color w:val="00B050"/>
          <w:sz w:val="18"/>
          <w:szCs w:val="18"/>
        </w:rPr>
        <w:t>locale</w:t>
      </w:r>
      <w:r w:rsidR="00792548" w:rsidRPr="00D61D92">
        <w:rPr>
          <w:i/>
          <w:color w:val="00B050"/>
          <w:sz w:val="18"/>
          <w:szCs w:val="18"/>
        </w:rPr>
        <w:t xml:space="preserve"> ;</w:t>
      </w:r>
      <w:r w:rsidR="00D61D92" w:rsidRPr="00634035">
        <w:rPr>
          <w:i/>
          <w:color w:val="00B050"/>
          <w:sz w:val="18"/>
          <w:szCs w:val="18"/>
        </w:rPr>
        <w:t xml:space="preserve"> il implique de revoir cette transmission de l’accumulation d’une génération à l’autre (d’où l’importance d’une fiscalité renforcée sur les gros héritages</w:t>
      </w:r>
      <w:r w:rsidR="00022E44">
        <w:rPr>
          <w:i/>
          <w:color w:val="00B050"/>
          <w:sz w:val="18"/>
          <w:szCs w:val="18"/>
        </w:rPr>
        <w:t xml:space="preserve"> sans démanteler ou </w:t>
      </w:r>
      <w:r w:rsidR="00792548">
        <w:rPr>
          <w:i/>
          <w:color w:val="00B050"/>
          <w:sz w:val="18"/>
          <w:szCs w:val="18"/>
        </w:rPr>
        <w:t>fragiliser l’outil</w:t>
      </w:r>
      <w:r w:rsidR="00022E44">
        <w:rPr>
          <w:i/>
          <w:color w:val="00B050"/>
          <w:sz w:val="18"/>
          <w:szCs w:val="18"/>
        </w:rPr>
        <w:t xml:space="preserve"> de travail, voir réaménagement à faire du pacte Dutreil</w:t>
      </w:r>
      <w:r w:rsidR="00D61D92" w:rsidRPr="00634035">
        <w:rPr>
          <w:i/>
          <w:color w:val="00B050"/>
          <w:sz w:val="18"/>
          <w:szCs w:val="18"/>
        </w:rPr>
        <w:t xml:space="preserve">).  Il s’agit aussi et surtout de favoriser des </w:t>
      </w:r>
      <w:r w:rsidR="00D61D92" w:rsidRPr="00634035">
        <w:rPr>
          <w:b/>
          <w:i/>
          <w:color w:val="00B050"/>
          <w:sz w:val="18"/>
          <w:szCs w:val="18"/>
        </w:rPr>
        <w:t>calculs de retour sur investissement à horizons longs</w:t>
      </w:r>
      <w:r w:rsidR="00D61D92" w:rsidRPr="00634035">
        <w:rPr>
          <w:i/>
          <w:color w:val="00B050"/>
          <w:sz w:val="18"/>
          <w:szCs w:val="18"/>
        </w:rPr>
        <w:t>, alors qu’ils sont actuellement bloqués sur une recherche du profit à court terme, des retours sur investissement de moins de 5 ans, et donc des taux de profit attendus de 20%. Comme la transition écologique se mesure en horizon de 30ans et avec des taux de rendement réel de 2 à 3% maximum, nous sommes au cœur du projet écologique.</w:t>
      </w:r>
    </w:p>
    <w:p w14:paraId="7DD13D44" w14:textId="77777777" w:rsidR="004B3A34" w:rsidRDefault="004B3A34" w:rsidP="00D61D92">
      <w:pPr>
        <w:rPr>
          <w:i/>
          <w:color w:val="00B050"/>
          <w:sz w:val="18"/>
          <w:szCs w:val="18"/>
        </w:rPr>
      </w:pPr>
    </w:p>
    <w:p w14:paraId="25C091BD" w14:textId="436AB8D9" w:rsidR="00D61D92" w:rsidRPr="00634035" w:rsidRDefault="004B3A34" w:rsidP="00D61D92">
      <w:pPr>
        <w:rPr>
          <w:i/>
          <w:color w:val="00B050"/>
          <w:sz w:val="18"/>
          <w:szCs w:val="18"/>
        </w:rPr>
      </w:pPr>
      <w:r w:rsidRPr="00B47345">
        <w:rPr>
          <w:b/>
          <w:color w:val="00B050"/>
          <w:sz w:val="18"/>
          <w:szCs w:val="18"/>
        </w:rPr>
        <w:t>Piste</w:t>
      </w:r>
      <w:r>
        <w:rPr>
          <w:b/>
          <w:color w:val="00B050"/>
          <w:sz w:val="18"/>
          <w:szCs w:val="18"/>
        </w:rPr>
        <w:t xml:space="preserve"> 5 : </w:t>
      </w:r>
      <w:r w:rsidRPr="00B47345">
        <w:rPr>
          <w:b/>
          <w:color w:val="00B050"/>
          <w:sz w:val="18"/>
          <w:szCs w:val="18"/>
        </w:rPr>
        <w:t xml:space="preserve"> </w:t>
      </w:r>
      <w:r w:rsidRPr="00B47345">
        <w:rPr>
          <w:b/>
          <w:i/>
          <w:color w:val="00B050"/>
          <w:sz w:val="18"/>
          <w:szCs w:val="18"/>
        </w:rPr>
        <w:t>L’imposition des bénéfices des sociétés</w:t>
      </w:r>
      <w:r w:rsidRPr="00B47345">
        <w:rPr>
          <w:i/>
          <w:color w:val="00B050"/>
          <w:sz w:val="18"/>
          <w:szCs w:val="18"/>
        </w:rPr>
        <w:t xml:space="preserve"> mérite </w:t>
      </w:r>
      <w:r>
        <w:rPr>
          <w:i/>
          <w:color w:val="00B050"/>
          <w:sz w:val="18"/>
          <w:szCs w:val="18"/>
        </w:rPr>
        <w:t xml:space="preserve">aussi </w:t>
      </w:r>
      <w:r w:rsidRPr="00B47345">
        <w:rPr>
          <w:i/>
          <w:color w:val="00B050"/>
          <w:sz w:val="18"/>
          <w:szCs w:val="18"/>
        </w:rPr>
        <w:t xml:space="preserve">une réflexion large, </w:t>
      </w:r>
      <w:r>
        <w:rPr>
          <w:i/>
          <w:color w:val="00B050"/>
          <w:sz w:val="18"/>
          <w:szCs w:val="18"/>
        </w:rPr>
        <w:t xml:space="preserve">qui n’est sans doute pas de l’ordre de la fiscalité locale ; </w:t>
      </w:r>
      <w:r w:rsidRPr="00B47345">
        <w:rPr>
          <w:i/>
          <w:color w:val="00B050"/>
          <w:sz w:val="18"/>
          <w:szCs w:val="18"/>
        </w:rPr>
        <w:t xml:space="preserve">les écologistes ne s’attaquent ni à l’initiative privée ni à l’esprit d’entreprise, et soulignent que le problème n’est pas tant le profit que l’usage qui en est fait*.  Nous en tirons 2 conséquences fiscales : Il parait important de distinguer </w:t>
      </w:r>
      <w:r w:rsidRPr="00B47345">
        <w:rPr>
          <w:b/>
          <w:i/>
          <w:color w:val="00B050"/>
          <w:sz w:val="18"/>
          <w:szCs w:val="18"/>
        </w:rPr>
        <w:t xml:space="preserve">le </w:t>
      </w:r>
      <w:r w:rsidRPr="00B47345">
        <w:rPr>
          <w:i/>
          <w:color w:val="00B050"/>
          <w:sz w:val="18"/>
          <w:szCs w:val="18"/>
        </w:rPr>
        <w:t>« Bénéfice réinvesti » et « Bénéfice redistribué</w:t>
      </w:r>
      <w:r w:rsidRPr="00B47345">
        <w:rPr>
          <w:b/>
          <w:i/>
          <w:color w:val="00B050"/>
          <w:sz w:val="18"/>
          <w:szCs w:val="18"/>
        </w:rPr>
        <w:t xml:space="preserve"> ».  </w:t>
      </w:r>
      <w:r w:rsidRPr="00B47345">
        <w:rPr>
          <w:i/>
          <w:color w:val="00B050"/>
          <w:sz w:val="18"/>
          <w:szCs w:val="18"/>
        </w:rPr>
        <w:t xml:space="preserve">Il semble important d’appuyer le fait que le dividende avalise l’appropriation du bénéfice au profit du seul actionnaire d’un bénéfice qui est encore social - contrôle de la société et de ses partenaires dont salariés, clients et fournisseurs- tant qu’il est conservé dans l’entreprise. </w:t>
      </w:r>
      <w:r w:rsidR="002504E9">
        <w:rPr>
          <w:i/>
          <w:color w:val="00B050"/>
          <w:sz w:val="18"/>
          <w:szCs w:val="18"/>
        </w:rPr>
        <w:t xml:space="preserve">Nota : </w:t>
      </w:r>
      <w:r w:rsidR="00D61D92" w:rsidRPr="00634035">
        <w:rPr>
          <w:i/>
          <w:color w:val="00B050"/>
          <w:sz w:val="18"/>
          <w:szCs w:val="18"/>
        </w:rPr>
        <w:t xml:space="preserve">La fiscalité </w:t>
      </w:r>
      <w:r w:rsidR="002504E9">
        <w:rPr>
          <w:i/>
          <w:color w:val="00B050"/>
          <w:sz w:val="18"/>
          <w:szCs w:val="18"/>
        </w:rPr>
        <w:t xml:space="preserve">tant locale que nationale </w:t>
      </w:r>
      <w:r w:rsidR="00D61D92" w:rsidRPr="00634035">
        <w:rPr>
          <w:i/>
          <w:color w:val="00B050"/>
          <w:sz w:val="18"/>
          <w:szCs w:val="18"/>
        </w:rPr>
        <w:t xml:space="preserve">doit avoir un sens et signifier aux acteurs que l’horizon long est la norme, le taux de retour sur 5 ans et les taux de profit à 20% l’exception. Les Pistes sont les suivantes </w:t>
      </w:r>
      <w:r w:rsidR="00D61D92" w:rsidRPr="00634035">
        <w:rPr>
          <w:b/>
          <w:i/>
          <w:color w:val="00B050"/>
          <w:sz w:val="18"/>
          <w:szCs w:val="18"/>
        </w:rPr>
        <w:t>1</w:t>
      </w:r>
      <w:r w:rsidR="00D61D92" w:rsidRPr="00634035">
        <w:rPr>
          <w:i/>
          <w:color w:val="00B050"/>
          <w:sz w:val="18"/>
          <w:szCs w:val="18"/>
        </w:rPr>
        <w:t xml:space="preserve"> ne pas toucher à l’IS sur la partie des bénéfices réinvestis</w:t>
      </w:r>
      <w:r w:rsidR="00D61D92" w:rsidRPr="00634035">
        <w:rPr>
          <w:b/>
          <w:i/>
          <w:color w:val="00B050"/>
          <w:sz w:val="18"/>
          <w:szCs w:val="18"/>
        </w:rPr>
        <w:t>. L’augmenter fortement sur les dividendes</w:t>
      </w:r>
      <w:r w:rsidR="002504E9">
        <w:rPr>
          <w:b/>
          <w:i/>
          <w:color w:val="00B050"/>
          <w:sz w:val="18"/>
          <w:szCs w:val="18"/>
        </w:rPr>
        <w:t xml:space="preserve"> et les rachats d</w:t>
      </w:r>
      <w:r w:rsidR="00792548">
        <w:rPr>
          <w:b/>
          <w:i/>
          <w:color w:val="00B050"/>
          <w:sz w:val="18"/>
          <w:szCs w:val="18"/>
        </w:rPr>
        <w:t xml:space="preserve">e ses propres </w:t>
      </w:r>
      <w:r w:rsidR="002504E9">
        <w:rPr>
          <w:b/>
          <w:i/>
          <w:color w:val="00B050"/>
          <w:sz w:val="18"/>
          <w:szCs w:val="18"/>
        </w:rPr>
        <w:t>action</w:t>
      </w:r>
      <w:r w:rsidR="00792548">
        <w:rPr>
          <w:b/>
          <w:i/>
          <w:color w:val="00B050"/>
          <w:sz w:val="18"/>
          <w:szCs w:val="18"/>
        </w:rPr>
        <w:t>s (phénomène massif)</w:t>
      </w:r>
      <w:r w:rsidR="00D61D92" w:rsidRPr="00634035">
        <w:rPr>
          <w:i/>
          <w:color w:val="00B050"/>
          <w:sz w:val="18"/>
          <w:szCs w:val="18"/>
        </w:rPr>
        <w:t xml:space="preserve">.  </w:t>
      </w:r>
      <w:r w:rsidR="00D61D92" w:rsidRPr="00634035">
        <w:rPr>
          <w:b/>
          <w:i/>
          <w:color w:val="00B050"/>
          <w:sz w:val="18"/>
          <w:szCs w:val="18"/>
        </w:rPr>
        <w:t>2</w:t>
      </w:r>
      <w:r w:rsidR="00D61D92" w:rsidRPr="00634035">
        <w:rPr>
          <w:i/>
          <w:color w:val="00B050"/>
          <w:sz w:val="18"/>
          <w:szCs w:val="18"/>
        </w:rPr>
        <w:t xml:space="preserve"> travailler </w:t>
      </w:r>
      <w:r w:rsidR="00D61D92" w:rsidRPr="00634035">
        <w:rPr>
          <w:b/>
          <w:i/>
          <w:color w:val="00B050"/>
          <w:sz w:val="18"/>
          <w:szCs w:val="18"/>
        </w:rPr>
        <w:t>l’imposition des plus-value en centrant sur la durée de détention</w:t>
      </w:r>
      <w:r w:rsidR="00D61D92" w:rsidRPr="00634035">
        <w:rPr>
          <w:i/>
          <w:color w:val="00B050"/>
          <w:sz w:val="18"/>
          <w:szCs w:val="18"/>
        </w:rPr>
        <w:t xml:space="preserve"> : pour les plus-values sur titres possédés par l’entreprise, taxer plus fortement la détention court terme et recréer de la dégressivité longue et continue pour les plus-values long terme pouvant être proche de zéro sur 20 ou 30 ans. L’enjeu est aussi de l’ordre de plusieurs milliards  </w:t>
      </w:r>
    </w:p>
    <w:p w14:paraId="02515BB0" w14:textId="77777777" w:rsidR="00377C94" w:rsidRPr="00634035" w:rsidRDefault="00377C94" w:rsidP="0048792B">
      <w:pPr>
        <w:jc w:val="both"/>
        <w:rPr>
          <w:color w:val="00B050"/>
          <w:sz w:val="18"/>
          <w:szCs w:val="18"/>
        </w:rPr>
      </w:pPr>
    </w:p>
    <w:p w14:paraId="06372F9B" w14:textId="77777777" w:rsidR="00377C94" w:rsidRPr="00634035" w:rsidRDefault="00377C94" w:rsidP="0048792B">
      <w:pPr>
        <w:jc w:val="both"/>
        <w:rPr>
          <w:color w:val="00B050"/>
          <w:sz w:val="18"/>
          <w:szCs w:val="18"/>
        </w:rPr>
      </w:pPr>
    </w:p>
    <w:p w14:paraId="7B05B7D9" w14:textId="77777777" w:rsidR="002E233E" w:rsidRDefault="002E233E" w:rsidP="00640722">
      <w:pPr>
        <w:rPr>
          <w:color w:val="212121"/>
          <w:sz w:val="24"/>
          <w:szCs w:val="24"/>
        </w:rPr>
      </w:pPr>
    </w:p>
    <w:p w14:paraId="256AF7AF" w14:textId="77777777" w:rsidR="00117A73" w:rsidRDefault="00117A73" w:rsidP="00D21436">
      <w:pPr>
        <w:jc w:val="both"/>
        <w:rPr>
          <w:color w:val="212121"/>
          <w:sz w:val="24"/>
          <w:szCs w:val="24"/>
        </w:rPr>
      </w:pPr>
    </w:p>
    <w:p w14:paraId="13ACA967" w14:textId="77777777" w:rsidR="00117A73" w:rsidRPr="007B1EBB" w:rsidRDefault="00117A73" w:rsidP="00D21436">
      <w:pPr>
        <w:jc w:val="both"/>
        <w:rPr>
          <w:color w:val="212121"/>
          <w:sz w:val="24"/>
          <w:szCs w:val="24"/>
        </w:rPr>
      </w:pPr>
    </w:p>
    <w:sectPr w:rsidR="00117A73" w:rsidRPr="007B1E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9D7E8" w14:textId="77777777" w:rsidR="00882095" w:rsidRDefault="00882095" w:rsidP="00633327">
      <w:r>
        <w:separator/>
      </w:r>
    </w:p>
  </w:endnote>
  <w:endnote w:type="continuationSeparator" w:id="0">
    <w:p w14:paraId="4198CF1C" w14:textId="77777777" w:rsidR="00882095" w:rsidRDefault="00882095" w:rsidP="00633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BF7D9" w14:textId="77777777" w:rsidR="00882095" w:rsidRDefault="00882095" w:rsidP="00633327">
      <w:r>
        <w:separator/>
      </w:r>
    </w:p>
  </w:footnote>
  <w:footnote w:type="continuationSeparator" w:id="0">
    <w:p w14:paraId="4B0C2FBE" w14:textId="77777777" w:rsidR="00882095" w:rsidRDefault="00882095" w:rsidP="00633327">
      <w:r>
        <w:continuationSeparator/>
      </w:r>
    </w:p>
  </w:footnote>
  <w:footnote w:id="1">
    <w:p w14:paraId="174BD04E" w14:textId="60B6E64F" w:rsidR="00D1247A" w:rsidRPr="00634035" w:rsidRDefault="00D1247A">
      <w:pPr>
        <w:pStyle w:val="Notedebasdepage"/>
        <w:rPr>
          <w:color w:val="00B050"/>
        </w:rPr>
      </w:pPr>
      <w:r w:rsidRPr="00634035">
        <w:rPr>
          <w:rStyle w:val="Appelnotedebasdep"/>
          <w:color w:val="00B050"/>
        </w:rPr>
        <w:footnoteRef/>
      </w:r>
      <w:r w:rsidRPr="00634035">
        <w:rPr>
          <w:color w:val="00B050"/>
        </w:rPr>
        <w:t xml:space="preserve"> Les collectivités locales Françaises réalisent environ 70% de l’investissement public national.</w:t>
      </w:r>
    </w:p>
  </w:footnote>
  <w:footnote w:id="2">
    <w:p w14:paraId="0300E7CB" w14:textId="77777777" w:rsidR="00A56905" w:rsidRPr="00634035" w:rsidRDefault="00A56905" w:rsidP="00A56905">
      <w:pPr>
        <w:pStyle w:val="Notedebasdepage"/>
        <w:rPr>
          <w:color w:val="00B050"/>
        </w:rPr>
      </w:pPr>
      <w:r w:rsidRPr="00634035">
        <w:rPr>
          <w:rStyle w:val="Appelnotedebasdep"/>
          <w:color w:val="00B050"/>
        </w:rPr>
        <w:footnoteRef/>
      </w:r>
      <w:r w:rsidRPr="00634035">
        <w:rPr>
          <w:color w:val="00B050"/>
        </w:rPr>
        <w:t xml:space="preserve"> 55% des oiseaux français ont disparu en 25 ans</w:t>
      </w:r>
    </w:p>
  </w:footnote>
  <w:footnote w:id="3">
    <w:p w14:paraId="0673B3CC" w14:textId="1E6B216D" w:rsidR="003A0A55" w:rsidRPr="00634035" w:rsidRDefault="003A0A55">
      <w:pPr>
        <w:pStyle w:val="Notedebasdepage"/>
        <w:rPr>
          <w:color w:val="00B050"/>
        </w:rPr>
      </w:pPr>
      <w:r w:rsidRPr="00634035">
        <w:rPr>
          <w:rStyle w:val="Appelnotedebasdep"/>
          <w:color w:val="00B050"/>
        </w:rPr>
        <w:footnoteRef/>
      </w:r>
      <w:r w:rsidRPr="00634035">
        <w:rPr>
          <w:color w:val="00B050"/>
        </w:rPr>
        <w:t xml:space="preserve"> Les conseils régionaux et départementaux n’ont aujourd’hui plus aucune liberté de taux sur leur fiscalité locale.</w:t>
      </w:r>
    </w:p>
  </w:footnote>
  <w:footnote w:id="4">
    <w:p w14:paraId="51817FAB" w14:textId="7CFB9FAB" w:rsidR="00735324" w:rsidRPr="00634035" w:rsidRDefault="00735324" w:rsidP="00735324">
      <w:pPr>
        <w:pStyle w:val="Notedebasdepage"/>
        <w:rPr>
          <w:color w:val="00B050"/>
        </w:rPr>
      </w:pPr>
      <w:r w:rsidRPr="00634035">
        <w:rPr>
          <w:rStyle w:val="Appelnotedebasdep"/>
          <w:color w:val="00B050"/>
        </w:rPr>
        <w:footnoteRef/>
      </w:r>
      <w:r w:rsidRPr="00634035">
        <w:rPr>
          <w:color w:val="00B050"/>
        </w:rPr>
        <w:t xml:space="preserve"> La dette publique de l’Etat français vient de dépasser les 114% en mars 2022 (contre 98% en 2017). Dans le même temps, et si l’on compte la CVAE, le Président Macron aura supprimé 61 Milliards d’€ de recettes publiques annuelles !</w:t>
      </w:r>
    </w:p>
  </w:footnote>
  <w:footnote w:id="5">
    <w:p w14:paraId="64A7DE8B" w14:textId="7E42149F" w:rsidR="00D1247A" w:rsidRPr="00634035" w:rsidRDefault="00D1247A">
      <w:pPr>
        <w:pStyle w:val="Notedebasdepage"/>
        <w:rPr>
          <w:color w:val="00B050"/>
        </w:rPr>
      </w:pPr>
      <w:r w:rsidRPr="00634035">
        <w:rPr>
          <w:rStyle w:val="Appelnotedebasdep"/>
          <w:color w:val="00B050"/>
        </w:rPr>
        <w:footnoteRef/>
      </w:r>
      <w:r w:rsidRPr="00634035">
        <w:rPr>
          <w:color w:val="00B050"/>
        </w:rPr>
        <w:t xml:space="preserve"> L’avenant 43 a permis de réviser la rémunération des métiers du secteur privé de l’aide à la personne</w:t>
      </w:r>
    </w:p>
  </w:footnote>
  <w:footnote w:id="6">
    <w:p w14:paraId="3D390374" w14:textId="5CC96FCA" w:rsidR="00A56905" w:rsidRPr="00634035" w:rsidRDefault="00A56905">
      <w:pPr>
        <w:pStyle w:val="Notedebasdepage"/>
        <w:rPr>
          <w:color w:val="00B050"/>
        </w:rPr>
      </w:pPr>
      <w:r w:rsidRPr="00634035">
        <w:rPr>
          <w:rStyle w:val="Appelnotedebasdep"/>
          <w:color w:val="00B050"/>
        </w:rPr>
        <w:footnoteRef/>
      </w:r>
      <w:r w:rsidRPr="00634035">
        <w:rPr>
          <w:color w:val="00B050"/>
        </w:rPr>
        <w:t xml:space="preserve"> En 2017, les contrats de Cahors prévoyait de contraindre les hausses de fonctionnement des collectivités de 2,5% par an maximum. </w:t>
      </w:r>
    </w:p>
  </w:footnote>
  <w:footnote w:id="7">
    <w:p w14:paraId="30E4DBFC" w14:textId="77777777" w:rsidR="00A56905" w:rsidRPr="00634035" w:rsidRDefault="00A56905" w:rsidP="00A56905">
      <w:pPr>
        <w:pStyle w:val="Notedebasdepage"/>
        <w:rPr>
          <w:color w:val="00B050"/>
        </w:rPr>
      </w:pPr>
      <w:r w:rsidRPr="00634035">
        <w:rPr>
          <w:rStyle w:val="Appelnotedebasdep"/>
          <w:color w:val="00B050"/>
        </w:rPr>
        <w:footnoteRef/>
      </w:r>
      <w:r w:rsidRPr="00634035">
        <w:rPr>
          <w:color w:val="00B050"/>
        </w:rPr>
        <w:t xml:space="preserve"> L’INSEE prévoit que les plus de 65 ans représenteront un quart de la population française en 2044 contre 20% aujourd’hui, c’est-à-dire un écart de plus de 4 millions de personnes</w:t>
      </w:r>
    </w:p>
  </w:footnote>
  <w:footnote w:id="8">
    <w:p w14:paraId="6C489A6F" w14:textId="2B383AFC" w:rsidR="00735324" w:rsidRPr="00634035" w:rsidRDefault="00735324">
      <w:pPr>
        <w:pStyle w:val="Notedebasdepage"/>
        <w:rPr>
          <w:color w:val="00B050"/>
        </w:rPr>
      </w:pPr>
      <w:r w:rsidRPr="00634035">
        <w:rPr>
          <w:rStyle w:val="Appelnotedebasdep"/>
          <w:color w:val="00B050"/>
        </w:rPr>
        <w:footnoteRef/>
      </w:r>
      <w:r w:rsidRPr="00634035">
        <w:rPr>
          <w:color w:val="00B050"/>
        </w:rPr>
        <w:t xml:space="preserve"> On estime à 7 Millions le nombre de bénéficiaires de l’aide alimentaire française en 2022, contre 3,5 Millions en 2014.</w:t>
      </w:r>
    </w:p>
  </w:footnote>
  <w:footnote w:id="9">
    <w:p w14:paraId="21CACC44" w14:textId="77777777" w:rsidR="00860D28" w:rsidRPr="00634035" w:rsidRDefault="00860D28" w:rsidP="00860D28">
      <w:pPr>
        <w:pStyle w:val="Notedebasdepage"/>
        <w:rPr>
          <w:color w:val="00B050"/>
        </w:rPr>
      </w:pPr>
      <w:r w:rsidRPr="00634035">
        <w:rPr>
          <w:rStyle w:val="Appelnotedebasdep"/>
          <w:color w:val="00B050"/>
        </w:rPr>
        <w:footnoteRef/>
      </w:r>
      <w:r w:rsidRPr="00634035">
        <w:rPr>
          <w:color w:val="00B050"/>
        </w:rPr>
        <w:t xml:space="preserve"> La CVAE (et sa petite sœur la cotisation foncière des Entreprises) avait remplacé la Taxe </w:t>
      </w:r>
      <w:proofErr w:type="gramStart"/>
      <w:r w:rsidRPr="00634035">
        <w:rPr>
          <w:color w:val="00B050"/>
        </w:rPr>
        <w:t>professionnelle,  depuis</w:t>
      </w:r>
      <w:proofErr w:type="gramEnd"/>
      <w:r w:rsidRPr="00634035">
        <w:rPr>
          <w:color w:val="00B050"/>
        </w:rPr>
        <w:t xml:space="preserve"> 2010.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14057"/>
    <w:multiLevelType w:val="hybridMultilevel"/>
    <w:tmpl w:val="F9CEF8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85C"/>
    <w:rsid w:val="00022E44"/>
    <w:rsid w:val="0005166C"/>
    <w:rsid w:val="0009341D"/>
    <w:rsid w:val="000A7FA9"/>
    <w:rsid w:val="000E1717"/>
    <w:rsid w:val="000E40A2"/>
    <w:rsid w:val="000F2F34"/>
    <w:rsid w:val="00111458"/>
    <w:rsid w:val="00117A73"/>
    <w:rsid w:val="0013667B"/>
    <w:rsid w:val="00144CBB"/>
    <w:rsid w:val="00145FFC"/>
    <w:rsid w:val="00174CB0"/>
    <w:rsid w:val="00175650"/>
    <w:rsid w:val="001B6323"/>
    <w:rsid w:val="001C45AB"/>
    <w:rsid w:val="001C7CC1"/>
    <w:rsid w:val="00204E44"/>
    <w:rsid w:val="002504E9"/>
    <w:rsid w:val="00273468"/>
    <w:rsid w:val="0029490F"/>
    <w:rsid w:val="002E233E"/>
    <w:rsid w:val="002E4009"/>
    <w:rsid w:val="00330D41"/>
    <w:rsid w:val="00377C94"/>
    <w:rsid w:val="003A0A55"/>
    <w:rsid w:val="00416946"/>
    <w:rsid w:val="00466ADA"/>
    <w:rsid w:val="0048792B"/>
    <w:rsid w:val="004B3A34"/>
    <w:rsid w:val="004F3A3F"/>
    <w:rsid w:val="005239BA"/>
    <w:rsid w:val="00526E72"/>
    <w:rsid w:val="00543893"/>
    <w:rsid w:val="00550CD4"/>
    <w:rsid w:val="00593990"/>
    <w:rsid w:val="0059740E"/>
    <w:rsid w:val="005A26EE"/>
    <w:rsid w:val="005E4BE4"/>
    <w:rsid w:val="005F3D4B"/>
    <w:rsid w:val="00633327"/>
    <w:rsid w:val="00634035"/>
    <w:rsid w:val="00640722"/>
    <w:rsid w:val="00652EB5"/>
    <w:rsid w:val="006818A9"/>
    <w:rsid w:val="00685895"/>
    <w:rsid w:val="006D1208"/>
    <w:rsid w:val="006D6FC7"/>
    <w:rsid w:val="006E0FEC"/>
    <w:rsid w:val="00735324"/>
    <w:rsid w:val="00742D63"/>
    <w:rsid w:val="00745A3D"/>
    <w:rsid w:val="00761146"/>
    <w:rsid w:val="00792548"/>
    <w:rsid w:val="00797D92"/>
    <w:rsid w:val="007B1EBB"/>
    <w:rsid w:val="007B274B"/>
    <w:rsid w:val="00805539"/>
    <w:rsid w:val="00806450"/>
    <w:rsid w:val="0085463D"/>
    <w:rsid w:val="0086073E"/>
    <w:rsid w:val="00860D28"/>
    <w:rsid w:val="00882095"/>
    <w:rsid w:val="008B25E1"/>
    <w:rsid w:val="008D49CD"/>
    <w:rsid w:val="008D6EC6"/>
    <w:rsid w:val="008E715D"/>
    <w:rsid w:val="009038C0"/>
    <w:rsid w:val="00913683"/>
    <w:rsid w:val="0093464D"/>
    <w:rsid w:val="00971156"/>
    <w:rsid w:val="009F43B4"/>
    <w:rsid w:val="00A0335B"/>
    <w:rsid w:val="00A54E63"/>
    <w:rsid w:val="00A56905"/>
    <w:rsid w:val="00A81A7D"/>
    <w:rsid w:val="00AA0C88"/>
    <w:rsid w:val="00AA3F29"/>
    <w:rsid w:val="00AB41AC"/>
    <w:rsid w:val="00AF771E"/>
    <w:rsid w:val="00B12A37"/>
    <w:rsid w:val="00B1577D"/>
    <w:rsid w:val="00B35871"/>
    <w:rsid w:val="00B41F47"/>
    <w:rsid w:val="00B7784F"/>
    <w:rsid w:val="00B94C1E"/>
    <w:rsid w:val="00B950FB"/>
    <w:rsid w:val="00B95734"/>
    <w:rsid w:val="00BB1CC5"/>
    <w:rsid w:val="00BC685C"/>
    <w:rsid w:val="00C17F83"/>
    <w:rsid w:val="00C27F54"/>
    <w:rsid w:val="00C31606"/>
    <w:rsid w:val="00C43CE6"/>
    <w:rsid w:val="00C55850"/>
    <w:rsid w:val="00C8139D"/>
    <w:rsid w:val="00CE321D"/>
    <w:rsid w:val="00D1247A"/>
    <w:rsid w:val="00D21436"/>
    <w:rsid w:val="00D6097E"/>
    <w:rsid w:val="00D61D92"/>
    <w:rsid w:val="00DA694F"/>
    <w:rsid w:val="00E01B6D"/>
    <w:rsid w:val="00E22344"/>
    <w:rsid w:val="00E2799D"/>
    <w:rsid w:val="00E817C7"/>
    <w:rsid w:val="00E938DD"/>
    <w:rsid w:val="00EA0CD9"/>
    <w:rsid w:val="00EA4C93"/>
    <w:rsid w:val="00EE5A3B"/>
    <w:rsid w:val="00F058C5"/>
    <w:rsid w:val="00F41A6A"/>
    <w:rsid w:val="00FB04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A1CF2"/>
  <w15:docId w15:val="{FD227C6F-F478-4854-95DA-70AEA81F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685C"/>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BC685C"/>
    <w:rPr>
      <w:color w:val="0000FF"/>
      <w:u w:val="single"/>
    </w:rPr>
  </w:style>
  <w:style w:type="paragraph" w:styleId="Paragraphedeliste">
    <w:name w:val="List Paragraph"/>
    <w:basedOn w:val="Normal"/>
    <w:uiPriority w:val="34"/>
    <w:qFormat/>
    <w:rsid w:val="00BC685C"/>
    <w:pPr>
      <w:ind w:left="720"/>
    </w:pPr>
  </w:style>
  <w:style w:type="paragraph" w:styleId="NormalWeb">
    <w:name w:val="Normal (Web)"/>
    <w:basedOn w:val="Normal"/>
    <w:uiPriority w:val="99"/>
    <w:semiHidden/>
    <w:unhideWhenUsed/>
    <w:rsid w:val="00E938DD"/>
    <w:pPr>
      <w:spacing w:before="100" w:beforeAutospacing="1" w:after="100" w:afterAutospacing="1"/>
    </w:pPr>
    <w:rPr>
      <w:rFonts w:ascii="Times New Roman" w:eastAsia="Times New Roman" w:hAnsi="Times New Roman" w:cs="Times New Roman"/>
      <w:sz w:val="24"/>
      <w:szCs w:val="24"/>
    </w:rPr>
  </w:style>
  <w:style w:type="paragraph" w:styleId="Notedebasdepage">
    <w:name w:val="footnote text"/>
    <w:basedOn w:val="Normal"/>
    <w:link w:val="NotedebasdepageCar"/>
    <w:uiPriority w:val="99"/>
    <w:semiHidden/>
    <w:unhideWhenUsed/>
    <w:rsid w:val="00633327"/>
    <w:rPr>
      <w:sz w:val="20"/>
      <w:szCs w:val="20"/>
    </w:rPr>
  </w:style>
  <w:style w:type="character" w:customStyle="1" w:styleId="NotedebasdepageCar">
    <w:name w:val="Note de bas de page Car"/>
    <w:basedOn w:val="Policepardfaut"/>
    <w:link w:val="Notedebasdepage"/>
    <w:uiPriority w:val="99"/>
    <w:semiHidden/>
    <w:rsid w:val="00633327"/>
    <w:rPr>
      <w:rFonts w:ascii="Calibri" w:hAnsi="Calibri" w:cs="Calibri"/>
      <w:sz w:val="20"/>
      <w:szCs w:val="20"/>
      <w:lang w:eastAsia="fr-FR"/>
    </w:rPr>
  </w:style>
  <w:style w:type="character" w:styleId="Appelnotedebasdep">
    <w:name w:val="footnote reference"/>
    <w:basedOn w:val="Policepardfaut"/>
    <w:uiPriority w:val="99"/>
    <w:semiHidden/>
    <w:unhideWhenUsed/>
    <w:rsid w:val="00633327"/>
    <w:rPr>
      <w:vertAlign w:val="superscript"/>
    </w:rPr>
  </w:style>
  <w:style w:type="character" w:styleId="Marquedecommentaire">
    <w:name w:val="annotation reference"/>
    <w:basedOn w:val="Policepardfaut"/>
    <w:uiPriority w:val="99"/>
    <w:semiHidden/>
    <w:unhideWhenUsed/>
    <w:rsid w:val="008B25E1"/>
    <w:rPr>
      <w:sz w:val="16"/>
      <w:szCs w:val="16"/>
    </w:rPr>
  </w:style>
  <w:style w:type="paragraph" w:styleId="Commentaire">
    <w:name w:val="annotation text"/>
    <w:basedOn w:val="Normal"/>
    <w:link w:val="CommentaireCar"/>
    <w:uiPriority w:val="99"/>
    <w:semiHidden/>
    <w:unhideWhenUsed/>
    <w:rsid w:val="008B25E1"/>
    <w:rPr>
      <w:sz w:val="20"/>
      <w:szCs w:val="20"/>
    </w:rPr>
  </w:style>
  <w:style w:type="character" w:customStyle="1" w:styleId="CommentaireCar">
    <w:name w:val="Commentaire Car"/>
    <w:basedOn w:val="Policepardfaut"/>
    <w:link w:val="Commentaire"/>
    <w:uiPriority w:val="99"/>
    <w:semiHidden/>
    <w:rsid w:val="008B25E1"/>
    <w:rPr>
      <w:rFonts w:ascii="Calibri" w:hAnsi="Calibri" w:cs="Calibri"/>
      <w:sz w:val="20"/>
      <w:szCs w:val="20"/>
      <w:lang w:eastAsia="fr-FR"/>
    </w:rPr>
  </w:style>
  <w:style w:type="paragraph" w:styleId="Objetducommentaire">
    <w:name w:val="annotation subject"/>
    <w:basedOn w:val="Commentaire"/>
    <w:next w:val="Commentaire"/>
    <w:link w:val="ObjetducommentaireCar"/>
    <w:uiPriority w:val="99"/>
    <w:semiHidden/>
    <w:unhideWhenUsed/>
    <w:rsid w:val="008B25E1"/>
    <w:rPr>
      <w:b/>
      <w:bCs/>
    </w:rPr>
  </w:style>
  <w:style w:type="character" w:customStyle="1" w:styleId="ObjetducommentaireCar">
    <w:name w:val="Objet du commentaire Car"/>
    <w:basedOn w:val="CommentaireCar"/>
    <w:link w:val="Objetducommentaire"/>
    <w:uiPriority w:val="99"/>
    <w:semiHidden/>
    <w:rsid w:val="008B25E1"/>
    <w:rPr>
      <w:rFonts w:ascii="Calibri" w:hAnsi="Calibri" w:cs="Calibri"/>
      <w:b/>
      <w:bCs/>
      <w:sz w:val="20"/>
      <w:szCs w:val="20"/>
      <w:lang w:eastAsia="fr-FR"/>
    </w:rPr>
  </w:style>
  <w:style w:type="paragraph" w:styleId="Textedebulles">
    <w:name w:val="Balloon Text"/>
    <w:basedOn w:val="Normal"/>
    <w:link w:val="TextedebullesCar"/>
    <w:uiPriority w:val="99"/>
    <w:semiHidden/>
    <w:unhideWhenUsed/>
    <w:rsid w:val="008B25E1"/>
    <w:rPr>
      <w:rFonts w:ascii="Segoe UI" w:hAnsi="Segoe UI" w:cs="Segoe UI"/>
      <w:sz w:val="18"/>
      <w:szCs w:val="18"/>
    </w:rPr>
  </w:style>
  <w:style w:type="character" w:customStyle="1" w:styleId="TextedebullesCar">
    <w:name w:val="Texte de bulles Car"/>
    <w:basedOn w:val="Policepardfaut"/>
    <w:link w:val="Textedebulles"/>
    <w:uiPriority w:val="99"/>
    <w:semiHidden/>
    <w:rsid w:val="008B25E1"/>
    <w:rPr>
      <w:rFonts w:ascii="Segoe UI" w:hAnsi="Segoe UI" w:cs="Segoe UI"/>
      <w:sz w:val="18"/>
      <w:szCs w:val="18"/>
      <w:lang w:eastAsia="fr-FR"/>
    </w:rPr>
  </w:style>
  <w:style w:type="paragraph" w:styleId="Textebrut">
    <w:name w:val="Plain Text"/>
    <w:basedOn w:val="Normal"/>
    <w:link w:val="TextebrutCar"/>
    <w:uiPriority w:val="99"/>
    <w:unhideWhenUsed/>
    <w:rsid w:val="00144CBB"/>
    <w:rPr>
      <w:rFonts w:cstheme="minorBidi"/>
      <w:szCs w:val="21"/>
      <w:lang w:eastAsia="en-US"/>
    </w:rPr>
  </w:style>
  <w:style w:type="character" w:customStyle="1" w:styleId="TextebrutCar">
    <w:name w:val="Texte brut Car"/>
    <w:basedOn w:val="Policepardfaut"/>
    <w:link w:val="Textebrut"/>
    <w:uiPriority w:val="99"/>
    <w:rsid w:val="00144CBB"/>
    <w:rPr>
      <w:rFonts w:ascii="Calibri" w:hAnsi="Calibri"/>
      <w:szCs w:val="21"/>
    </w:rPr>
  </w:style>
  <w:style w:type="paragraph" w:styleId="Rvision">
    <w:name w:val="Revision"/>
    <w:hidden/>
    <w:uiPriority w:val="99"/>
    <w:semiHidden/>
    <w:rsid w:val="00634035"/>
    <w:pPr>
      <w:spacing w:after="0" w:line="240" w:lineRule="auto"/>
    </w:pPr>
    <w:rPr>
      <w:rFonts w:ascii="Calibri" w:hAnsi="Calibri" w:cs="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40867">
      <w:bodyDiv w:val="1"/>
      <w:marLeft w:val="0"/>
      <w:marRight w:val="0"/>
      <w:marTop w:val="0"/>
      <w:marBottom w:val="0"/>
      <w:divBdr>
        <w:top w:val="none" w:sz="0" w:space="0" w:color="auto"/>
        <w:left w:val="none" w:sz="0" w:space="0" w:color="auto"/>
        <w:bottom w:val="none" w:sz="0" w:space="0" w:color="auto"/>
        <w:right w:val="none" w:sz="0" w:space="0" w:color="auto"/>
      </w:divBdr>
    </w:div>
    <w:div w:id="1162354712">
      <w:bodyDiv w:val="1"/>
      <w:marLeft w:val="0"/>
      <w:marRight w:val="0"/>
      <w:marTop w:val="0"/>
      <w:marBottom w:val="0"/>
      <w:divBdr>
        <w:top w:val="none" w:sz="0" w:space="0" w:color="auto"/>
        <w:left w:val="none" w:sz="0" w:space="0" w:color="auto"/>
        <w:bottom w:val="none" w:sz="0" w:space="0" w:color="auto"/>
        <w:right w:val="none" w:sz="0" w:space="0" w:color="auto"/>
      </w:divBdr>
    </w:div>
    <w:div w:id="133819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79822-D913-44ED-9D16-32B2581D4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2167</Words>
  <Characters>11922</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CG35</Company>
  <LinksUpToDate>false</LinksUpToDate>
  <CharactersWithSpaces>14061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GERBAUD Jérôme</dc:creator>
  <cp:lastModifiedBy>PERRIN Nicolas</cp:lastModifiedBy>
  <cp:revision>2</cp:revision>
  <dcterms:created xsi:type="dcterms:W3CDTF">2022-09-21T15:51:00Z</dcterms:created>
  <dcterms:modified xsi:type="dcterms:W3CDTF">2022-09-21T15:51:00Z</dcterms:modified>
</cp:coreProperties>
</file>